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2C7FDC54"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781D45">
        <w:rPr>
          <w:rFonts w:ascii="Arial" w:eastAsiaTheme="minorEastAsia" w:hAnsi="Arial" w:cs="Arial"/>
          <w:b/>
        </w:rPr>
        <w:t>1</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EC581F">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hAnsi="Arial" w:cs="Arial"/>
        </w:rPr>
        <w:t xml:space="preserve"> </w:t>
      </w:r>
      <w:r w:rsidR="00DB7121" w:rsidRPr="00191BFE">
        <w:rPr>
          <w:rFonts w:ascii="Arial" w:eastAsiaTheme="minorEastAsia" w:hAnsi="Arial" w:cs="Arial"/>
          <w:b/>
        </w:rPr>
        <w:t>2</w:t>
      </w:r>
      <w:r w:rsidR="00CA58E5">
        <w:rPr>
          <w:rFonts w:ascii="Arial" w:eastAsiaTheme="minorEastAsia" w:hAnsi="Arial" w:cs="Arial"/>
          <w:b/>
        </w:rPr>
        <w:t>4</w:t>
      </w:r>
      <w:r w:rsidR="00EC581F">
        <w:rPr>
          <w:rFonts w:ascii="Arial" w:eastAsiaTheme="minorEastAsia" w:hAnsi="Arial" w:cs="Arial"/>
          <w:b/>
        </w:rPr>
        <w:t>09665</w:t>
      </w:r>
    </w:p>
    <w:p w14:paraId="37750728" w14:textId="5FBC0108" w:rsidR="0083351C" w:rsidRPr="001C2D88" w:rsidRDefault="00781D45" w:rsidP="00E821A1">
      <w:pPr>
        <w:spacing w:after="120"/>
        <w:ind w:left="1985" w:hanging="1985"/>
        <w:jc w:val="both"/>
        <w:rPr>
          <w:rFonts w:ascii="Arial" w:eastAsiaTheme="minorEastAsia" w:hAnsi="Arial" w:cs="Arial"/>
          <w:b/>
        </w:rPr>
      </w:pPr>
      <w:r>
        <w:rPr>
          <w:rFonts w:ascii="Arial" w:eastAsiaTheme="minorEastAsia" w:hAnsi="Arial" w:cs="Arial"/>
          <w:b/>
        </w:rPr>
        <w:t>Fukuoka</w:t>
      </w:r>
      <w:r w:rsidR="00DD2DDC" w:rsidRPr="00CE4C51">
        <w:rPr>
          <w:rFonts w:ascii="Arial" w:eastAsiaTheme="minorEastAsia" w:hAnsi="Arial" w:cs="Arial"/>
          <w:b/>
        </w:rPr>
        <w:t xml:space="preserve">, </w:t>
      </w:r>
      <w:r>
        <w:rPr>
          <w:rFonts w:ascii="Arial" w:eastAsiaTheme="minorEastAsia" w:hAnsi="Arial" w:cs="Arial"/>
          <w:b/>
        </w:rPr>
        <w:t>Japan</w:t>
      </w:r>
      <w:r w:rsidR="00CA58E5">
        <w:rPr>
          <w:rFonts w:ascii="Arial" w:eastAsiaTheme="minorEastAsia" w:hAnsi="Arial" w:cs="Arial"/>
          <w:b/>
        </w:rPr>
        <w:t xml:space="preserve">, </w:t>
      </w:r>
      <w:r w:rsidR="00A20DFD">
        <w:rPr>
          <w:rFonts w:ascii="Arial" w:eastAsiaTheme="minorEastAsia" w:hAnsi="Arial" w:cs="Arial"/>
          <w:b/>
        </w:rPr>
        <w:t>May 20</w:t>
      </w:r>
      <w:r w:rsidR="00DD2DDC" w:rsidRPr="00CE4C51">
        <w:rPr>
          <w:rFonts w:ascii="Arial" w:hAnsi="Arial" w:cs="Arial"/>
          <w:b/>
        </w:rPr>
        <w:t xml:space="preserve"> </w:t>
      </w:r>
      <w:r w:rsidR="00DD2DDC" w:rsidRPr="00CE4C51">
        <w:rPr>
          <w:rFonts w:ascii="Arial" w:hAnsi="Arial" w:cs="Arial"/>
          <w:b/>
          <w:bCs/>
        </w:rPr>
        <w:t xml:space="preserve">– </w:t>
      </w:r>
      <w:r w:rsidR="00A20DFD">
        <w:rPr>
          <w:rFonts w:ascii="Arial" w:hAnsi="Arial" w:cs="Arial"/>
          <w:b/>
        </w:rPr>
        <w:t>24</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E74AA7F"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0823A3">
        <w:rPr>
          <w:rFonts w:ascii="Arial" w:eastAsiaTheme="minorEastAsia" w:hAnsi="Arial" w:cs="Arial"/>
          <w:color w:val="000000"/>
          <w:sz w:val="22"/>
        </w:rPr>
        <w:t>10.8.3</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39DF499"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1F176A">
        <w:rPr>
          <w:rFonts w:ascii="Arial" w:eastAsia="MS Mincho" w:hAnsi="Arial" w:cs="Arial"/>
          <w:sz w:val="22"/>
        </w:rPr>
        <w:t>remaining issues of ATG BS supporting CA</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73051F2C" w14:textId="76558C0D" w:rsidR="00EC77FC" w:rsidRDefault="00EC77FC" w:rsidP="00EC77FC">
      <w:pPr>
        <w:spacing w:after="120"/>
        <w:jc w:val="both"/>
        <w:rPr>
          <w:sz w:val="21"/>
          <w:szCs w:val="21"/>
        </w:rPr>
      </w:pPr>
      <w:r w:rsidRPr="00BD5FDD">
        <w:rPr>
          <w:sz w:val="21"/>
          <w:szCs w:val="21"/>
        </w:rPr>
        <w:t xml:space="preserve">In 3GPP release 18, RAN4 has completed the standardization work for the air-to-ground (ATG) network WI, the main work focused on </w:t>
      </w:r>
      <w:r w:rsidR="004E63A3">
        <w:rPr>
          <w:sz w:val="21"/>
          <w:szCs w:val="21"/>
        </w:rPr>
        <w:t xml:space="preserve">the </w:t>
      </w:r>
      <w:r w:rsidRPr="00BD5FDD">
        <w:rPr>
          <w:sz w:val="21"/>
          <w:szCs w:val="21"/>
        </w:rPr>
        <w:t xml:space="preserve">FR1 single carrier scenario. To enhance the throughput to meet growing ATG capacity demand and fully utilize operators’ spectrum, the RAN plenary meeting #103 has approved a new WI on enhancements for the air-to-ground network for NR </w:t>
      </w:r>
      <w:r w:rsidRPr="00BD5FDD">
        <w:rPr>
          <w:sz w:val="21"/>
          <w:szCs w:val="21"/>
        </w:rPr>
        <w:fldChar w:fldCharType="begin"/>
      </w:r>
      <w:r w:rsidRPr="00BD5FDD">
        <w:rPr>
          <w:sz w:val="21"/>
          <w:szCs w:val="21"/>
        </w:rPr>
        <w:instrText xml:space="preserve"> REF _Ref129967845 \n \h </w:instrText>
      </w:r>
      <w:r w:rsidR="00BD5FDD">
        <w:rPr>
          <w:sz w:val="21"/>
          <w:szCs w:val="21"/>
        </w:rPr>
        <w:instrText xml:space="preserve"> \* MERGEFORMAT </w:instrText>
      </w:r>
      <w:r w:rsidRPr="00BD5FDD">
        <w:rPr>
          <w:sz w:val="21"/>
          <w:szCs w:val="21"/>
        </w:rPr>
      </w:r>
      <w:r w:rsidRPr="00BD5FDD">
        <w:rPr>
          <w:sz w:val="21"/>
          <w:szCs w:val="21"/>
        </w:rPr>
        <w:fldChar w:fldCharType="separate"/>
      </w:r>
      <w:r w:rsidRPr="00BD5FDD">
        <w:rPr>
          <w:sz w:val="21"/>
          <w:szCs w:val="21"/>
        </w:rPr>
        <w:t>[1]</w:t>
      </w:r>
      <w:r w:rsidRPr="00BD5FDD">
        <w:rPr>
          <w:sz w:val="21"/>
          <w:szCs w:val="21"/>
        </w:rPr>
        <w:fldChar w:fldCharType="end"/>
      </w:r>
      <w:r w:rsidRPr="00BD5FDD">
        <w:rPr>
          <w:sz w:val="21"/>
          <w:szCs w:val="21"/>
        </w:rPr>
        <w:t>.</w:t>
      </w:r>
    </w:p>
    <w:p w14:paraId="2E5C1AAC" w14:textId="11AD603E" w:rsidR="00FA132C" w:rsidRPr="001C2D88" w:rsidRDefault="00FA132C" w:rsidP="00E821A1">
      <w:pPr>
        <w:spacing w:after="120"/>
        <w:jc w:val="both"/>
        <w:rPr>
          <w:rFonts w:ascii="Arial" w:hAnsi="Arial" w:cs="Arial"/>
        </w:rPr>
      </w:pP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DDB6774" w14:textId="2A370CB2" w:rsidR="008659FB" w:rsidRDefault="008659FB" w:rsidP="008659FB">
      <w:pPr>
        <w:spacing w:after="120"/>
        <w:jc w:val="both"/>
        <w:rPr>
          <w:sz w:val="21"/>
          <w:szCs w:val="21"/>
        </w:rPr>
      </w:pPr>
      <w:r>
        <w:rPr>
          <w:sz w:val="21"/>
          <w:szCs w:val="21"/>
        </w:rPr>
        <w:t xml:space="preserve">In the last meeting, several agreements were made, </w:t>
      </w:r>
      <w:r w:rsidR="00E8668A">
        <w:rPr>
          <w:sz w:val="21"/>
          <w:szCs w:val="21"/>
        </w:rPr>
        <w:t xml:space="preserve">including </w:t>
      </w:r>
      <w:r>
        <w:rPr>
          <w:sz w:val="21"/>
          <w:szCs w:val="21"/>
        </w:rPr>
        <w:t xml:space="preserve">TAE requirements and </w:t>
      </w:r>
      <w:r w:rsidR="0000473D">
        <w:rPr>
          <w:sz w:val="21"/>
          <w:szCs w:val="21"/>
        </w:rPr>
        <w:t xml:space="preserve">other RF </w:t>
      </w:r>
      <w:r w:rsidR="00DB3A4F">
        <w:rPr>
          <w:sz w:val="21"/>
          <w:szCs w:val="21"/>
        </w:rPr>
        <w:t>requirements</w:t>
      </w:r>
      <w:r w:rsidR="00597C10">
        <w:rPr>
          <w:sz w:val="21"/>
          <w:szCs w:val="21"/>
        </w:rPr>
        <w:t xml:space="preserve"> </w:t>
      </w:r>
      <w:r w:rsidR="009F41EE">
        <w:rPr>
          <w:sz w:val="21"/>
          <w:szCs w:val="21"/>
        </w:rPr>
        <w:fldChar w:fldCharType="begin"/>
      </w:r>
      <w:r w:rsidR="009F41EE">
        <w:rPr>
          <w:sz w:val="21"/>
          <w:szCs w:val="21"/>
        </w:rPr>
        <w:instrText xml:space="preserve"> REF _Ref164937679 \n \h </w:instrText>
      </w:r>
      <w:r w:rsidR="009F41EE">
        <w:rPr>
          <w:sz w:val="21"/>
          <w:szCs w:val="21"/>
        </w:rPr>
      </w:r>
      <w:r w:rsidR="009F41EE">
        <w:rPr>
          <w:sz w:val="21"/>
          <w:szCs w:val="21"/>
        </w:rPr>
        <w:fldChar w:fldCharType="separate"/>
      </w:r>
      <w:r w:rsidR="009F41EE">
        <w:rPr>
          <w:sz w:val="21"/>
          <w:szCs w:val="21"/>
        </w:rPr>
        <w:t>[2]</w:t>
      </w:r>
      <w:r w:rsidR="009F41EE">
        <w:rPr>
          <w:sz w:val="21"/>
          <w:szCs w:val="21"/>
        </w:rPr>
        <w:fldChar w:fldCharType="end"/>
      </w:r>
      <w:r w:rsidR="00DB3A4F">
        <w:rPr>
          <w:sz w:val="21"/>
          <w:szCs w:val="21"/>
        </w:rPr>
        <w:t>.</w:t>
      </w:r>
      <w:r w:rsidR="0000473D">
        <w:rPr>
          <w:sz w:val="21"/>
          <w:szCs w:val="21"/>
        </w:rPr>
        <w:t xml:space="preserve"> </w:t>
      </w:r>
    </w:p>
    <w:p w14:paraId="5535ACB0" w14:textId="77777777" w:rsidR="00136DAA" w:rsidRPr="00BD5FDD" w:rsidRDefault="00136DAA" w:rsidP="008659FB">
      <w:pPr>
        <w:spacing w:after="120"/>
        <w:jc w:val="both"/>
        <w:rPr>
          <w:sz w:val="21"/>
          <w:szCs w:val="21"/>
        </w:rPr>
      </w:pPr>
    </w:p>
    <w:p w14:paraId="4EC734A9" w14:textId="4169C55C" w:rsidR="00AF6A26" w:rsidRDefault="00CB0AB3" w:rsidP="00DD2DDC">
      <w:pPr>
        <w:spacing w:after="160" w:line="259" w:lineRule="auto"/>
        <w:rPr>
          <w:rFonts w:ascii="Arial" w:eastAsia="Calibri" w:hAnsi="Arial" w:cs="Arial"/>
          <w:sz w:val="20"/>
          <w:szCs w:val="22"/>
          <w:lang w:eastAsia="ja-JP"/>
        </w:rPr>
      </w:pPr>
      <w:r w:rsidRPr="008740ED">
        <w:rPr>
          <w:noProof/>
          <w:sz w:val="22"/>
          <w:szCs w:val="22"/>
        </w:rPr>
        <mc:AlternateContent>
          <mc:Choice Requires="wps">
            <w:drawing>
              <wp:inline distT="0" distB="0" distL="0" distR="0" wp14:anchorId="11C52A60" wp14:editId="2D89D6C2">
                <wp:extent cx="6002866" cy="4129548"/>
                <wp:effectExtent l="0" t="0" r="17145" b="10795"/>
                <wp:docPr id="1997121055" name="Text Box 1997121055"/>
                <wp:cNvGraphicFramePr/>
                <a:graphic xmlns:a="http://schemas.openxmlformats.org/drawingml/2006/main">
                  <a:graphicData uri="http://schemas.microsoft.com/office/word/2010/wordprocessingShape">
                    <wps:wsp>
                      <wps:cNvSpPr txBox="1"/>
                      <wps:spPr>
                        <a:xfrm>
                          <a:off x="0" y="0"/>
                          <a:ext cx="6002866" cy="4129548"/>
                        </a:xfrm>
                        <a:prstGeom prst="rect">
                          <a:avLst/>
                        </a:prstGeom>
                        <a:solidFill>
                          <a:schemeClr val="lt1"/>
                        </a:solidFill>
                        <a:ln w="9525">
                          <a:solidFill>
                            <a:prstClr val="black"/>
                          </a:solidFill>
                        </a:ln>
                      </wps:spPr>
                      <wps:txbx>
                        <w:txbxContent>
                          <w:p w14:paraId="41EB4B22" w14:textId="77777777" w:rsidR="007C250F" w:rsidRDefault="007C250F" w:rsidP="007C250F">
                            <w:pPr>
                              <w:keepNext/>
                              <w:keepLines/>
                              <w:spacing w:after="120"/>
                              <w:rPr>
                                <w:rFonts w:ascii="Arial" w:hAnsi="Arial" w:cs="Arial"/>
                                <w:b/>
                                <w:sz w:val="20"/>
                              </w:rPr>
                            </w:pPr>
                            <w:bookmarkStart w:id="0" w:name="OLE_LINK14"/>
                            <w:r>
                              <w:rPr>
                                <w:rFonts w:ascii="Arial" w:hAnsi="Arial" w:cs="Arial"/>
                                <w:b/>
                                <w:sz w:val="20"/>
                                <w:szCs w:val="20"/>
                                <w:u w:val="single"/>
                                <w:lang w:eastAsia="ko-KR"/>
                              </w:rPr>
                              <w:t xml:space="preserve">Issue </w:t>
                            </w:r>
                            <w:r>
                              <w:rPr>
                                <w:rFonts w:ascii="Arial" w:hAnsi="Arial" w:cs="Arial"/>
                                <w:b/>
                                <w:sz w:val="20"/>
                                <w:szCs w:val="20"/>
                                <w:u w:val="single"/>
                              </w:rPr>
                              <w:t>1-1</w:t>
                            </w:r>
                            <w:r>
                              <w:rPr>
                                <w:rFonts w:ascii="Arial" w:hAnsi="Arial" w:cs="Arial"/>
                                <w:b/>
                                <w:sz w:val="20"/>
                                <w:szCs w:val="20"/>
                                <w:u w:val="single"/>
                                <w:lang w:eastAsia="ko-KR"/>
                              </w:rPr>
                              <w:t>:</w:t>
                            </w:r>
                            <w:r>
                              <w:rPr>
                                <w:rFonts w:ascii="Arial" w:hAnsi="Arial" w:cs="Arial"/>
                                <w:b/>
                                <w:sz w:val="20"/>
                                <w:szCs w:val="20"/>
                                <w:u w:val="single"/>
                              </w:rPr>
                              <w:t xml:space="preserve"> </w:t>
                            </w:r>
                            <w:bookmarkStart w:id="1" w:name="OLE_LINK17"/>
                            <w:r>
                              <w:rPr>
                                <w:rFonts w:ascii="Arial" w:hAnsi="Arial" w:cs="Arial"/>
                                <w:b/>
                                <w:sz w:val="20"/>
                                <w:szCs w:val="20"/>
                                <w:u w:val="single"/>
                              </w:rPr>
                              <w:t xml:space="preserve">TAE requirements for ATG BS supporting intra-band contiguous CA and inter-band </w:t>
                            </w:r>
                            <w:proofErr w:type="gramStart"/>
                            <w:r>
                              <w:rPr>
                                <w:rFonts w:ascii="Arial" w:hAnsi="Arial" w:cs="Arial"/>
                                <w:b/>
                                <w:sz w:val="20"/>
                                <w:szCs w:val="20"/>
                                <w:u w:val="single"/>
                              </w:rPr>
                              <w:t>CA</w:t>
                            </w:r>
                            <w:bookmarkStart w:id="2" w:name="OLE_LINK48"/>
                            <w:proofErr w:type="gramEnd"/>
                          </w:p>
                          <w:bookmarkEnd w:id="0"/>
                          <w:bookmarkEnd w:id="1"/>
                          <w:bookmarkEnd w:id="2"/>
                          <w:p w14:paraId="7AAE1DA2"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r>
                              <w:rPr>
                                <w:rFonts w:ascii="Arial" w:eastAsia="SimSun" w:hAnsi="Arial" w:cs="Arial"/>
                                <w:sz w:val="20"/>
                                <w:szCs w:val="20"/>
                              </w:rPr>
                              <w:t>Way Forward</w:t>
                            </w:r>
                          </w:p>
                          <w:p w14:paraId="04B3B83B" w14:textId="77777777" w:rsidR="007C250F" w:rsidRDefault="007C250F" w:rsidP="007C250F">
                            <w:pPr>
                              <w:pStyle w:val="ListParagraph"/>
                              <w:keepNext/>
                              <w:keepLines/>
                              <w:numPr>
                                <w:ilvl w:val="0"/>
                                <w:numId w:val="14"/>
                              </w:numPr>
                              <w:overflowPunct/>
                              <w:autoSpaceDE/>
                              <w:autoSpaceDN/>
                              <w:adjustRightInd/>
                              <w:spacing w:after="120"/>
                              <w:ind w:firstLineChars="0"/>
                              <w:contextualSpacing/>
                              <w:textAlignment w:val="auto"/>
                              <w:rPr>
                                <w:rFonts w:ascii="Arial" w:eastAsia="SimSun" w:hAnsi="Arial" w:cs="Arial"/>
                                <w:sz w:val="20"/>
                              </w:rPr>
                            </w:pPr>
                            <w:r>
                              <w:rPr>
                                <w:rFonts w:ascii="Arial" w:eastAsia="SimSun" w:hAnsi="Arial" w:cs="Arial"/>
                                <w:sz w:val="20"/>
                                <w:szCs w:val="20"/>
                              </w:rPr>
                              <w:t>To reuse the existing NR BS TAE requirements</w:t>
                            </w:r>
                          </w:p>
                          <w:p w14:paraId="4C9A9481"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p>
                          <w:p w14:paraId="61400548" w14:textId="77777777" w:rsidR="007C250F" w:rsidRPr="000D65AF" w:rsidRDefault="007C250F" w:rsidP="000D65AF">
                            <w:pPr>
                              <w:keepNext/>
                              <w:keepLines/>
                              <w:outlineLvl w:val="3"/>
                              <w:rPr>
                                <w:rFonts w:ascii="Arial" w:hAnsi="Arial" w:cs="Arial"/>
                                <w:b/>
                                <w:sz w:val="20"/>
                                <w:u w:val="single"/>
                              </w:rPr>
                            </w:pPr>
                            <w:r w:rsidRPr="000D65AF">
                              <w:rPr>
                                <w:rFonts w:ascii="Arial" w:hAnsi="Arial" w:cs="Arial"/>
                                <w:b/>
                                <w:sz w:val="20"/>
                                <w:szCs w:val="20"/>
                                <w:u w:val="single"/>
                                <w:lang w:eastAsia="ko-KR"/>
                              </w:rPr>
                              <w:t xml:space="preserve">Issue </w:t>
                            </w:r>
                            <w:r w:rsidRPr="000D65AF">
                              <w:rPr>
                                <w:rFonts w:ascii="Arial" w:hAnsi="Arial" w:cs="Arial"/>
                                <w:b/>
                                <w:sz w:val="20"/>
                                <w:szCs w:val="20"/>
                                <w:u w:val="single"/>
                              </w:rPr>
                              <w:t>1-2</w:t>
                            </w:r>
                            <w:r w:rsidRPr="000D65AF">
                              <w:rPr>
                                <w:rFonts w:ascii="Arial" w:hAnsi="Arial" w:cs="Arial"/>
                                <w:b/>
                                <w:sz w:val="20"/>
                                <w:szCs w:val="20"/>
                                <w:u w:val="single"/>
                                <w:lang w:eastAsia="ko-KR"/>
                              </w:rPr>
                              <w:t>:</w:t>
                            </w:r>
                            <w:r w:rsidRPr="000D65AF">
                              <w:rPr>
                                <w:rFonts w:ascii="Arial" w:hAnsi="Arial" w:cs="Arial"/>
                                <w:b/>
                                <w:sz w:val="20"/>
                                <w:szCs w:val="20"/>
                                <w:u w:val="single"/>
                              </w:rPr>
                              <w:t xml:space="preserve">  How to handle CA TAE requirements for ATG BS in TS38.104</w:t>
                            </w:r>
                          </w:p>
                          <w:p w14:paraId="701794FD"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p>
                          <w:p w14:paraId="53BB9516"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r>
                              <w:rPr>
                                <w:rFonts w:ascii="Arial" w:eastAsia="SimSun" w:hAnsi="Arial" w:cs="Arial"/>
                                <w:sz w:val="20"/>
                                <w:szCs w:val="20"/>
                              </w:rPr>
                              <w:t>Way Forward</w:t>
                            </w:r>
                          </w:p>
                          <w:p w14:paraId="5E534B7A" w14:textId="77777777" w:rsidR="007C250F" w:rsidRDefault="007C250F" w:rsidP="007C250F">
                            <w:pPr>
                              <w:pStyle w:val="ListParagraph"/>
                              <w:keepNext/>
                              <w:keepLines/>
                              <w:numPr>
                                <w:ilvl w:val="0"/>
                                <w:numId w:val="10"/>
                              </w:numPr>
                              <w:tabs>
                                <w:tab w:val="left" w:pos="-420"/>
                              </w:tabs>
                              <w:overflowPunct/>
                              <w:autoSpaceDE/>
                              <w:autoSpaceDN/>
                              <w:adjustRightInd/>
                              <w:spacing w:after="120"/>
                              <w:ind w:left="720" w:firstLineChars="0" w:hanging="363"/>
                              <w:contextualSpacing/>
                              <w:textAlignment w:val="auto"/>
                              <w:rPr>
                                <w:rFonts w:ascii="Arial" w:eastAsia="SimSun" w:hAnsi="Arial" w:cs="Arial"/>
                                <w:sz w:val="20"/>
                              </w:rPr>
                            </w:pPr>
                            <w:r>
                              <w:rPr>
                                <w:rFonts w:ascii="Arial" w:eastAsia="SimSun" w:hAnsi="Arial" w:cs="Arial"/>
                                <w:sz w:val="20"/>
                                <w:szCs w:val="20"/>
                              </w:rPr>
                              <w:t>Option 1: Remove the sentence “There is no TAE requirement for ATG BS” in 6.5.3.1 and 9.6.3</w:t>
                            </w:r>
                          </w:p>
                          <w:p w14:paraId="3C836308" w14:textId="77777777" w:rsidR="007C250F" w:rsidRDefault="007C250F" w:rsidP="007C250F">
                            <w:pPr>
                              <w:pStyle w:val="ListParagraph"/>
                              <w:keepNext/>
                              <w:keepLines/>
                              <w:numPr>
                                <w:ilvl w:val="0"/>
                                <w:numId w:val="10"/>
                              </w:numPr>
                              <w:tabs>
                                <w:tab w:val="left" w:pos="-420"/>
                              </w:tabs>
                              <w:overflowPunct/>
                              <w:autoSpaceDE/>
                              <w:autoSpaceDN/>
                              <w:adjustRightInd/>
                              <w:spacing w:after="120"/>
                              <w:ind w:left="720" w:firstLineChars="0" w:hanging="363"/>
                              <w:contextualSpacing/>
                              <w:textAlignment w:val="auto"/>
                              <w:rPr>
                                <w:rFonts w:ascii="Arial" w:eastAsia="SimSun" w:hAnsi="Arial" w:cs="Arial"/>
                                <w:sz w:val="20"/>
                              </w:rPr>
                            </w:pPr>
                            <w:r>
                              <w:rPr>
                                <w:rFonts w:ascii="Arial" w:eastAsia="SimSun" w:hAnsi="Arial" w:cs="Arial"/>
                                <w:sz w:val="20"/>
                                <w:szCs w:val="20"/>
                              </w:rPr>
                              <w:t>Option 2: Remove the sentence “There is no TAE requirement for ATG BS” in 6.5.3.1 and 9.6.3, then add the following in 6.5.3.2 and 9.6.3.2,</w:t>
                            </w:r>
                          </w:p>
                          <w:p w14:paraId="177B1056" w14:textId="77777777" w:rsidR="007C250F" w:rsidRDefault="007C250F" w:rsidP="007C250F">
                            <w:pPr>
                              <w:pStyle w:val="ListParagraph"/>
                              <w:keepNext/>
                              <w:keepLines/>
                              <w:numPr>
                                <w:ilvl w:val="1"/>
                                <w:numId w:val="10"/>
                              </w:numPr>
                              <w:tabs>
                                <w:tab w:val="left" w:pos="-420"/>
                              </w:tabs>
                              <w:overflowPunct/>
                              <w:autoSpaceDE/>
                              <w:autoSpaceDN/>
                              <w:adjustRightInd/>
                              <w:spacing w:after="120"/>
                              <w:ind w:left="1140" w:firstLineChars="0" w:hanging="363"/>
                              <w:contextualSpacing/>
                              <w:textAlignment w:val="auto"/>
                              <w:rPr>
                                <w:rFonts w:ascii="Arial" w:eastAsia="SimSun" w:hAnsi="Arial" w:cs="Arial"/>
                                <w:sz w:val="20"/>
                              </w:rPr>
                            </w:pPr>
                            <w:r>
                              <w:rPr>
                                <w:rFonts w:ascii="Arial" w:eastAsia="SimSun" w:hAnsi="Arial" w:cs="Arial"/>
                                <w:sz w:val="20"/>
                                <w:szCs w:val="20"/>
                              </w:rPr>
                              <w:t>For ATG BS, for intra-band contiguous carrier aggregation, without MIMO, TAE shall not exceed 260ns.</w:t>
                            </w:r>
                          </w:p>
                          <w:p w14:paraId="672E7254" w14:textId="77777777" w:rsidR="007C250F" w:rsidRDefault="007C250F" w:rsidP="007C250F">
                            <w:pPr>
                              <w:pStyle w:val="ListParagraph"/>
                              <w:keepNext/>
                              <w:keepLines/>
                              <w:numPr>
                                <w:ilvl w:val="1"/>
                                <w:numId w:val="10"/>
                              </w:numPr>
                              <w:tabs>
                                <w:tab w:val="left" w:pos="-420"/>
                              </w:tabs>
                              <w:overflowPunct/>
                              <w:autoSpaceDE/>
                              <w:autoSpaceDN/>
                              <w:adjustRightInd/>
                              <w:spacing w:after="120"/>
                              <w:ind w:left="1140" w:firstLineChars="0" w:hanging="363"/>
                              <w:contextualSpacing/>
                              <w:textAlignment w:val="auto"/>
                              <w:rPr>
                                <w:rFonts w:ascii="Arial" w:eastAsia="SimSun" w:hAnsi="Arial" w:cs="Arial"/>
                                <w:sz w:val="20"/>
                              </w:rPr>
                            </w:pPr>
                            <w:r>
                              <w:rPr>
                                <w:rFonts w:ascii="Arial" w:eastAsia="SimSun" w:hAnsi="Arial" w:cs="Arial"/>
                                <w:sz w:val="20"/>
                                <w:szCs w:val="20"/>
                              </w:rPr>
                              <w:t>For ATG BS, inter-band carrier aggregation, without MIMO, TAE shall not exceed 3µs.</w:t>
                            </w:r>
                          </w:p>
                          <w:p w14:paraId="7BE4FE77" w14:textId="77777777" w:rsidR="007C250F" w:rsidRDefault="007C250F" w:rsidP="007C250F">
                            <w:pPr>
                              <w:pStyle w:val="ListParagraph"/>
                              <w:keepNext/>
                              <w:keepLines/>
                              <w:numPr>
                                <w:ilvl w:val="0"/>
                                <w:numId w:val="10"/>
                              </w:numPr>
                              <w:tabs>
                                <w:tab w:val="left" w:pos="-420"/>
                              </w:tabs>
                              <w:overflowPunct/>
                              <w:autoSpaceDE/>
                              <w:autoSpaceDN/>
                              <w:adjustRightInd/>
                              <w:spacing w:after="120"/>
                              <w:ind w:left="720" w:firstLineChars="0" w:hanging="363"/>
                              <w:contextualSpacing/>
                              <w:textAlignment w:val="auto"/>
                              <w:rPr>
                                <w:rFonts w:ascii="Arial" w:eastAsia="SimSun" w:hAnsi="Arial" w:cs="Arial"/>
                                <w:sz w:val="20"/>
                              </w:rPr>
                            </w:pPr>
                            <w:r>
                              <w:rPr>
                                <w:rFonts w:ascii="Arial" w:eastAsia="SimSun" w:hAnsi="Arial" w:cs="Arial"/>
                                <w:sz w:val="20"/>
                                <w:szCs w:val="20"/>
                              </w:rPr>
                              <w:t xml:space="preserve">Option 3: Find a place to add a general clarification that for ATG, intra-band contiguous CA and inter-band CA are supported but DL MIMO is not supported.  </w:t>
                            </w:r>
                          </w:p>
                          <w:p w14:paraId="1B032866" w14:textId="77777777" w:rsidR="007C250F" w:rsidRDefault="007C250F" w:rsidP="007C250F">
                            <w:pPr>
                              <w:keepNext/>
                              <w:keepLines/>
                              <w:rPr>
                                <w:rFonts w:ascii="Arial" w:eastAsia="SimSun" w:hAnsi="Arial" w:cs="Arial"/>
                                <w:sz w:val="20"/>
                              </w:rPr>
                            </w:pPr>
                          </w:p>
                          <w:p w14:paraId="63318C9F" w14:textId="77777777" w:rsidR="007C250F" w:rsidRDefault="007C250F" w:rsidP="000D65AF">
                            <w:pPr>
                              <w:pStyle w:val="ListParagraph"/>
                              <w:keepNext/>
                              <w:keepLines/>
                              <w:ind w:firstLineChars="0" w:firstLine="0"/>
                              <w:outlineLvl w:val="3"/>
                              <w:rPr>
                                <w:rFonts w:ascii="Arial" w:hAnsi="Arial" w:cs="Arial"/>
                                <w:b/>
                                <w:sz w:val="20"/>
                                <w:u w:val="single"/>
                              </w:rPr>
                            </w:pPr>
                            <w:bookmarkStart w:id="3" w:name="OLE_LINK8"/>
                            <w:r>
                              <w:rPr>
                                <w:rFonts w:ascii="Arial" w:hAnsi="Arial" w:cs="Arial"/>
                                <w:b/>
                                <w:sz w:val="20"/>
                                <w:szCs w:val="20"/>
                                <w:u w:val="single"/>
                                <w:lang w:eastAsia="ko-KR"/>
                              </w:rPr>
                              <w:t xml:space="preserve">Issue </w:t>
                            </w:r>
                            <w:r>
                              <w:rPr>
                                <w:rFonts w:ascii="Arial" w:hAnsi="Arial" w:cs="Arial"/>
                                <w:b/>
                                <w:sz w:val="20"/>
                                <w:szCs w:val="20"/>
                                <w:u w:val="single"/>
                              </w:rPr>
                              <w:t>1-3</w:t>
                            </w:r>
                            <w:r>
                              <w:rPr>
                                <w:rFonts w:ascii="Arial" w:eastAsia="SimSun" w:hAnsi="Arial" w:cs="Arial"/>
                                <w:b/>
                                <w:sz w:val="20"/>
                                <w:szCs w:val="20"/>
                                <w:u w:val="single"/>
                                <w:lang w:eastAsia="ko-KR"/>
                              </w:rPr>
                              <w:t>:</w:t>
                            </w:r>
                            <w:bookmarkEnd w:id="3"/>
                            <w:r>
                              <w:rPr>
                                <w:rFonts w:ascii="Arial" w:eastAsia="SimSun" w:hAnsi="Arial" w:cs="Arial"/>
                                <w:b/>
                                <w:sz w:val="20"/>
                                <w:szCs w:val="20"/>
                                <w:u w:val="single"/>
                              </w:rPr>
                              <w:t xml:space="preserve">  RF requirements other than TAE </w:t>
                            </w:r>
                            <w:r>
                              <w:rPr>
                                <w:rFonts w:ascii="Arial" w:hAnsi="Arial" w:cs="Arial"/>
                                <w:b/>
                                <w:sz w:val="20"/>
                                <w:szCs w:val="20"/>
                                <w:u w:val="single"/>
                              </w:rPr>
                              <w:t xml:space="preserve">for ATG BS supporting intra-band contiguous CA and inter-band </w:t>
                            </w:r>
                            <w:proofErr w:type="gramStart"/>
                            <w:r>
                              <w:rPr>
                                <w:rFonts w:ascii="Arial" w:hAnsi="Arial" w:cs="Arial"/>
                                <w:b/>
                                <w:sz w:val="20"/>
                                <w:szCs w:val="20"/>
                                <w:u w:val="single"/>
                              </w:rPr>
                              <w:t>CA</w:t>
                            </w:r>
                            <w:proofErr w:type="gramEnd"/>
                          </w:p>
                          <w:p w14:paraId="7EEC991B"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bookmarkStart w:id="4" w:name="OLE_LINK16"/>
                          </w:p>
                          <w:p w14:paraId="55BAAFD9"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r>
                              <w:rPr>
                                <w:rFonts w:ascii="Arial" w:eastAsia="SimSun" w:hAnsi="Arial" w:cs="Arial"/>
                                <w:sz w:val="20"/>
                                <w:szCs w:val="20"/>
                              </w:rPr>
                              <w:t>Online agreements:</w:t>
                            </w:r>
                          </w:p>
                          <w:p w14:paraId="645F91D0" w14:textId="18A8C97D" w:rsidR="00CB0AB3" w:rsidRPr="007C250F" w:rsidRDefault="007C250F" w:rsidP="00CB0AB3">
                            <w:pPr>
                              <w:pStyle w:val="ListParagraph"/>
                              <w:keepNext/>
                              <w:keepLines/>
                              <w:numPr>
                                <w:ilvl w:val="0"/>
                                <w:numId w:val="14"/>
                              </w:numPr>
                              <w:overflowPunct/>
                              <w:autoSpaceDE/>
                              <w:autoSpaceDN/>
                              <w:adjustRightInd/>
                              <w:spacing w:after="120"/>
                              <w:ind w:firstLineChars="0"/>
                              <w:contextualSpacing/>
                              <w:textAlignment w:val="auto"/>
                              <w:rPr>
                                <w:rFonts w:eastAsia="SimSun"/>
                              </w:rPr>
                            </w:pPr>
                            <w:r>
                              <w:rPr>
                                <w:rFonts w:ascii="Arial" w:eastAsia="SimSun" w:hAnsi="Arial" w:cs="Arial"/>
                                <w:sz w:val="20"/>
                                <w:szCs w:val="20"/>
                              </w:rPr>
                              <w:t>To reuse the same requirements as defined for the legacy NR BS RF CA requirements.</w:t>
                            </w:r>
                            <w:bookmarkEnd w:id="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1C52A60" id="_x0000_t202" coordsize="21600,21600" o:spt="202" path="m,l,21600r21600,l21600,xe">
                <v:stroke joinstyle="miter"/>
                <v:path gradientshapeok="t" o:connecttype="rect"/>
              </v:shapetype>
              <v:shape id="Text Box 1997121055" o:spid="_x0000_s1026" type="#_x0000_t202" style="width:472.65pt;height:3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4i54OQIAAH0EAAAOAAAAZHJzL2Uyb0RvYy54bWysVE2P2jAQvVfqf7B8L4EI6BIRVpQVVSW0&#13;&#10;uxJb7dk4NonqeFzbkNBf37ETPnbbU9WLM/aMn2fevMn8vq0VOQrrKtA5HQ2GlAjNoaj0PqffX9af&#13;&#10;7ihxnumCKdAipyfh6P3i44d5YzKRQgmqEJYgiHZZY3Jaem+yJHG8FDVzAzBCo1OCrZnHrd0nhWUN&#13;&#10;otcqSYfDadKALYwFLpzD04fOSRcRX0rB/ZOUTniicoq5+bjauO7CmizmLNtbZsqK92mwf8iiZpXG&#13;&#10;Ry9QD8wzcrDVH1B1xS04kH7AoU5AyoqLWANWMxq+q2ZbMiNiLUiOMxea3P+D5Y/HrXm2xLdfoMUG&#13;&#10;BkIa4zKHh6GeVto6fDFTgn6k8HShTbSecDycDofp3XRKCUffeJTOJuO7gJNcrxvr/FcBNQlGTi32&#13;&#10;JdLFjhvnu9BzSHjNgaqKdaVU3AQtiJWy5Miwi8rHJBH8TZTSpMnpbJJOIvAbX4C+3N8pxn/06d1E&#13;&#10;IZ7SmPO1+GD5dtf2jOygOCFRFjoNOcPXFeJumPPPzKJokBscBP+Ei1SAyUBvUVKC/fW38xCPvUQv&#13;&#10;JQ2KMKfu54FZQYn6prHLs9F4HFQbN+PJ5xQ39tazu/XoQ70CZGiEI2d4NEO8V2dTWqhfcV6W4VV0&#13;&#10;Mc3x7Zz6s7ny3WjgvHGxXMYg1KlhfqO3hgfo0JHA50v7yqzp++lRCo9wlivL3rW1iw03NSwPHmQV&#13;&#10;ex4I7ljteUeNR9X08xiG6HYfo65/jcVvAAAA//8DAFBLAwQUAAYACAAAACEAhCg3AN0AAAAKAQAA&#13;&#10;DwAAAGRycy9kb3ducmV2LnhtbEyPQU/CQBCF7yb+h82QeJMtIgRLt8SAHj2AJF637dg2dGeb3SmU&#13;&#10;f+/oRS4vmby8N+/LNqPr1BlDbD0ZmE0TUEilr1qqDRw/3x9XoCJbqmznCQ1cMcImv7/LbFr5C+3x&#13;&#10;fOBaSQnF1BpomPtU61g26Gyc+h5JvG8fnGU5Q62rYC9S7jr9lCRL7WxL8qGxPW4bLE+HwRlgKjR/&#13;&#10;7EO4rt52p+NXuY04tMY8TMbdWuR1DYpx5P8E/DLIfshlWOEHqqLqDAgN/6l4L8+LOajCwHKRzEHn&#13;&#10;mb5FyH8AAAD//wMAUEsBAi0AFAAGAAgAAAAhALaDOJL+AAAA4QEAABMAAAAAAAAAAAAAAAAAAAAA&#13;&#10;AFtDb250ZW50X1R5cGVzXS54bWxQSwECLQAUAAYACAAAACEAOP0h/9YAAACUAQAACwAAAAAAAAAA&#13;&#10;AAAAAAAvAQAAX3JlbHMvLnJlbHNQSwECLQAUAAYACAAAACEAB+IueDkCAAB9BAAADgAAAAAAAAAA&#13;&#10;AAAAAAAuAgAAZHJzL2Uyb0RvYy54bWxQSwECLQAUAAYACAAAACEAhCg3AN0AAAAKAQAADwAAAAAA&#13;&#10;AAAAAAAAAACTBAAAZHJzL2Rvd25yZXYueG1sUEsFBgAAAAAEAAQA8wAAAJ0FAAAAAA==&#13;&#10;" fillcolor="white [3201]">
                <v:textbox>
                  <w:txbxContent>
                    <w:p w14:paraId="41EB4B22" w14:textId="77777777" w:rsidR="007C250F" w:rsidRDefault="007C250F" w:rsidP="007C250F">
                      <w:pPr>
                        <w:keepNext/>
                        <w:keepLines/>
                        <w:spacing w:after="120"/>
                        <w:rPr>
                          <w:rFonts w:ascii="Arial" w:hAnsi="Arial" w:cs="Arial"/>
                          <w:b/>
                          <w:sz w:val="20"/>
                        </w:rPr>
                      </w:pPr>
                      <w:bookmarkStart w:id="5" w:name="OLE_LINK14"/>
                      <w:r>
                        <w:rPr>
                          <w:rFonts w:ascii="Arial" w:hAnsi="Arial" w:cs="Arial"/>
                          <w:b/>
                          <w:sz w:val="20"/>
                          <w:szCs w:val="20"/>
                          <w:u w:val="single"/>
                          <w:lang w:eastAsia="ko-KR"/>
                        </w:rPr>
                        <w:t xml:space="preserve">Issue </w:t>
                      </w:r>
                      <w:r>
                        <w:rPr>
                          <w:rFonts w:ascii="Arial" w:hAnsi="Arial" w:cs="Arial"/>
                          <w:b/>
                          <w:sz w:val="20"/>
                          <w:szCs w:val="20"/>
                          <w:u w:val="single"/>
                        </w:rPr>
                        <w:t>1-1</w:t>
                      </w:r>
                      <w:r>
                        <w:rPr>
                          <w:rFonts w:ascii="Arial" w:hAnsi="Arial" w:cs="Arial"/>
                          <w:b/>
                          <w:sz w:val="20"/>
                          <w:szCs w:val="20"/>
                          <w:u w:val="single"/>
                          <w:lang w:eastAsia="ko-KR"/>
                        </w:rPr>
                        <w:t>:</w:t>
                      </w:r>
                      <w:r>
                        <w:rPr>
                          <w:rFonts w:ascii="Arial" w:hAnsi="Arial" w:cs="Arial"/>
                          <w:b/>
                          <w:sz w:val="20"/>
                          <w:szCs w:val="20"/>
                          <w:u w:val="single"/>
                        </w:rPr>
                        <w:t xml:space="preserve"> </w:t>
                      </w:r>
                      <w:bookmarkStart w:id="6" w:name="OLE_LINK17"/>
                      <w:r>
                        <w:rPr>
                          <w:rFonts w:ascii="Arial" w:hAnsi="Arial" w:cs="Arial"/>
                          <w:b/>
                          <w:sz w:val="20"/>
                          <w:szCs w:val="20"/>
                          <w:u w:val="single"/>
                        </w:rPr>
                        <w:t xml:space="preserve">TAE requirements for ATG BS supporting intra-band contiguous CA and inter-band </w:t>
                      </w:r>
                      <w:proofErr w:type="gramStart"/>
                      <w:r>
                        <w:rPr>
                          <w:rFonts w:ascii="Arial" w:hAnsi="Arial" w:cs="Arial"/>
                          <w:b/>
                          <w:sz w:val="20"/>
                          <w:szCs w:val="20"/>
                          <w:u w:val="single"/>
                        </w:rPr>
                        <w:t>CA</w:t>
                      </w:r>
                      <w:bookmarkStart w:id="7" w:name="OLE_LINK48"/>
                      <w:proofErr w:type="gramEnd"/>
                    </w:p>
                    <w:bookmarkEnd w:id="5"/>
                    <w:bookmarkEnd w:id="6"/>
                    <w:bookmarkEnd w:id="7"/>
                    <w:p w14:paraId="7AAE1DA2"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r>
                        <w:rPr>
                          <w:rFonts w:ascii="Arial" w:eastAsia="SimSun" w:hAnsi="Arial" w:cs="Arial"/>
                          <w:sz w:val="20"/>
                          <w:szCs w:val="20"/>
                        </w:rPr>
                        <w:t>Way Forward</w:t>
                      </w:r>
                    </w:p>
                    <w:p w14:paraId="04B3B83B" w14:textId="77777777" w:rsidR="007C250F" w:rsidRDefault="007C250F" w:rsidP="007C250F">
                      <w:pPr>
                        <w:pStyle w:val="ListParagraph"/>
                        <w:keepNext/>
                        <w:keepLines/>
                        <w:numPr>
                          <w:ilvl w:val="0"/>
                          <w:numId w:val="14"/>
                        </w:numPr>
                        <w:overflowPunct/>
                        <w:autoSpaceDE/>
                        <w:autoSpaceDN/>
                        <w:adjustRightInd/>
                        <w:spacing w:after="120"/>
                        <w:ind w:firstLineChars="0"/>
                        <w:contextualSpacing/>
                        <w:textAlignment w:val="auto"/>
                        <w:rPr>
                          <w:rFonts w:ascii="Arial" w:eastAsia="SimSun" w:hAnsi="Arial" w:cs="Arial"/>
                          <w:sz w:val="20"/>
                        </w:rPr>
                      </w:pPr>
                      <w:r>
                        <w:rPr>
                          <w:rFonts w:ascii="Arial" w:eastAsia="SimSun" w:hAnsi="Arial" w:cs="Arial"/>
                          <w:sz w:val="20"/>
                          <w:szCs w:val="20"/>
                        </w:rPr>
                        <w:t>To reuse the existing NR BS TAE requirements</w:t>
                      </w:r>
                    </w:p>
                    <w:p w14:paraId="4C9A9481"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p>
                    <w:p w14:paraId="61400548" w14:textId="77777777" w:rsidR="007C250F" w:rsidRPr="000D65AF" w:rsidRDefault="007C250F" w:rsidP="000D65AF">
                      <w:pPr>
                        <w:keepNext/>
                        <w:keepLines/>
                        <w:outlineLvl w:val="3"/>
                        <w:rPr>
                          <w:rFonts w:ascii="Arial" w:hAnsi="Arial" w:cs="Arial"/>
                          <w:b/>
                          <w:sz w:val="20"/>
                          <w:u w:val="single"/>
                        </w:rPr>
                      </w:pPr>
                      <w:r w:rsidRPr="000D65AF">
                        <w:rPr>
                          <w:rFonts w:ascii="Arial" w:hAnsi="Arial" w:cs="Arial"/>
                          <w:b/>
                          <w:sz w:val="20"/>
                          <w:szCs w:val="20"/>
                          <w:u w:val="single"/>
                          <w:lang w:eastAsia="ko-KR"/>
                        </w:rPr>
                        <w:t xml:space="preserve">Issue </w:t>
                      </w:r>
                      <w:r w:rsidRPr="000D65AF">
                        <w:rPr>
                          <w:rFonts w:ascii="Arial" w:hAnsi="Arial" w:cs="Arial"/>
                          <w:b/>
                          <w:sz w:val="20"/>
                          <w:szCs w:val="20"/>
                          <w:u w:val="single"/>
                        </w:rPr>
                        <w:t>1-2</w:t>
                      </w:r>
                      <w:r w:rsidRPr="000D65AF">
                        <w:rPr>
                          <w:rFonts w:ascii="Arial" w:hAnsi="Arial" w:cs="Arial"/>
                          <w:b/>
                          <w:sz w:val="20"/>
                          <w:szCs w:val="20"/>
                          <w:u w:val="single"/>
                          <w:lang w:eastAsia="ko-KR"/>
                        </w:rPr>
                        <w:t>:</w:t>
                      </w:r>
                      <w:r w:rsidRPr="000D65AF">
                        <w:rPr>
                          <w:rFonts w:ascii="Arial" w:hAnsi="Arial" w:cs="Arial"/>
                          <w:b/>
                          <w:sz w:val="20"/>
                          <w:szCs w:val="20"/>
                          <w:u w:val="single"/>
                        </w:rPr>
                        <w:t xml:space="preserve">  How to handle CA TAE requirements for ATG BS in TS38.104</w:t>
                      </w:r>
                    </w:p>
                    <w:p w14:paraId="701794FD"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p>
                    <w:p w14:paraId="53BB9516"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r>
                        <w:rPr>
                          <w:rFonts w:ascii="Arial" w:eastAsia="SimSun" w:hAnsi="Arial" w:cs="Arial"/>
                          <w:sz w:val="20"/>
                          <w:szCs w:val="20"/>
                        </w:rPr>
                        <w:t>Way Forward</w:t>
                      </w:r>
                    </w:p>
                    <w:p w14:paraId="5E534B7A" w14:textId="77777777" w:rsidR="007C250F" w:rsidRDefault="007C250F" w:rsidP="007C250F">
                      <w:pPr>
                        <w:pStyle w:val="ListParagraph"/>
                        <w:keepNext/>
                        <w:keepLines/>
                        <w:numPr>
                          <w:ilvl w:val="0"/>
                          <w:numId w:val="10"/>
                        </w:numPr>
                        <w:tabs>
                          <w:tab w:val="left" w:pos="-420"/>
                        </w:tabs>
                        <w:overflowPunct/>
                        <w:autoSpaceDE/>
                        <w:autoSpaceDN/>
                        <w:adjustRightInd/>
                        <w:spacing w:after="120"/>
                        <w:ind w:left="720" w:firstLineChars="0" w:hanging="363"/>
                        <w:contextualSpacing/>
                        <w:textAlignment w:val="auto"/>
                        <w:rPr>
                          <w:rFonts w:ascii="Arial" w:eastAsia="SimSun" w:hAnsi="Arial" w:cs="Arial"/>
                          <w:sz w:val="20"/>
                        </w:rPr>
                      </w:pPr>
                      <w:r>
                        <w:rPr>
                          <w:rFonts w:ascii="Arial" w:eastAsia="SimSun" w:hAnsi="Arial" w:cs="Arial"/>
                          <w:sz w:val="20"/>
                          <w:szCs w:val="20"/>
                        </w:rPr>
                        <w:t>Option 1: Remove the sentence “There is no TAE requirement for ATG BS” in 6.5.3.1 and 9.6.3</w:t>
                      </w:r>
                    </w:p>
                    <w:p w14:paraId="3C836308" w14:textId="77777777" w:rsidR="007C250F" w:rsidRDefault="007C250F" w:rsidP="007C250F">
                      <w:pPr>
                        <w:pStyle w:val="ListParagraph"/>
                        <w:keepNext/>
                        <w:keepLines/>
                        <w:numPr>
                          <w:ilvl w:val="0"/>
                          <w:numId w:val="10"/>
                        </w:numPr>
                        <w:tabs>
                          <w:tab w:val="left" w:pos="-420"/>
                        </w:tabs>
                        <w:overflowPunct/>
                        <w:autoSpaceDE/>
                        <w:autoSpaceDN/>
                        <w:adjustRightInd/>
                        <w:spacing w:after="120"/>
                        <w:ind w:left="720" w:firstLineChars="0" w:hanging="363"/>
                        <w:contextualSpacing/>
                        <w:textAlignment w:val="auto"/>
                        <w:rPr>
                          <w:rFonts w:ascii="Arial" w:eastAsia="SimSun" w:hAnsi="Arial" w:cs="Arial"/>
                          <w:sz w:val="20"/>
                        </w:rPr>
                      </w:pPr>
                      <w:r>
                        <w:rPr>
                          <w:rFonts w:ascii="Arial" w:eastAsia="SimSun" w:hAnsi="Arial" w:cs="Arial"/>
                          <w:sz w:val="20"/>
                          <w:szCs w:val="20"/>
                        </w:rPr>
                        <w:t>Option 2: Remove the sentence “There is no TAE requirement for ATG BS” in 6.5.3.1 and 9.6.3, then add the following in 6.5.3.2 and 9.6.3.2,</w:t>
                      </w:r>
                    </w:p>
                    <w:p w14:paraId="177B1056" w14:textId="77777777" w:rsidR="007C250F" w:rsidRDefault="007C250F" w:rsidP="007C250F">
                      <w:pPr>
                        <w:pStyle w:val="ListParagraph"/>
                        <w:keepNext/>
                        <w:keepLines/>
                        <w:numPr>
                          <w:ilvl w:val="1"/>
                          <w:numId w:val="10"/>
                        </w:numPr>
                        <w:tabs>
                          <w:tab w:val="left" w:pos="-420"/>
                        </w:tabs>
                        <w:overflowPunct/>
                        <w:autoSpaceDE/>
                        <w:autoSpaceDN/>
                        <w:adjustRightInd/>
                        <w:spacing w:after="120"/>
                        <w:ind w:left="1140" w:firstLineChars="0" w:hanging="363"/>
                        <w:contextualSpacing/>
                        <w:textAlignment w:val="auto"/>
                        <w:rPr>
                          <w:rFonts w:ascii="Arial" w:eastAsia="SimSun" w:hAnsi="Arial" w:cs="Arial"/>
                          <w:sz w:val="20"/>
                        </w:rPr>
                      </w:pPr>
                      <w:r>
                        <w:rPr>
                          <w:rFonts w:ascii="Arial" w:eastAsia="SimSun" w:hAnsi="Arial" w:cs="Arial"/>
                          <w:sz w:val="20"/>
                          <w:szCs w:val="20"/>
                        </w:rPr>
                        <w:t>For ATG BS, for intra-band contiguous carrier aggregation, without MIMO, TAE shall not exceed 260ns.</w:t>
                      </w:r>
                    </w:p>
                    <w:p w14:paraId="672E7254" w14:textId="77777777" w:rsidR="007C250F" w:rsidRDefault="007C250F" w:rsidP="007C250F">
                      <w:pPr>
                        <w:pStyle w:val="ListParagraph"/>
                        <w:keepNext/>
                        <w:keepLines/>
                        <w:numPr>
                          <w:ilvl w:val="1"/>
                          <w:numId w:val="10"/>
                        </w:numPr>
                        <w:tabs>
                          <w:tab w:val="left" w:pos="-420"/>
                        </w:tabs>
                        <w:overflowPunct/>
                        <w:autoSpaceDE/>
                        <w:autoSpaceDN/>
                        <w:adjustRightInd/>
                        <w:spacing w:after="120"/>
                        <w:ind w:left="1140" w:firstLineChars="0" w:hanging="363"/>
                        <w:contextualSpacing/>
                        <w:textAlignment w:val="auto"/>
                        <w:rPr>
                          <w:rFonts w:ascii="Arial" w:eastAsia="SimSun" w:hAnsi="Arial" w:cs="Arial"/>
                          <w:sz w:val="20"/>
                        </w:rPr>
                      </w:pPr>
                      <w:r>
                        <w:rPr>
                          <w:rFonts w:ascii="Arial" w:eastAsia="SimSun" w:hAnsi="Arial" w:cs="Arial"/>
                          <w:sz w:val="20"/>
                          <w:szCs w:val="20"/>
                        </w:rPr>
                        <w:t>For ATG BS, inter-band carrier aggregation, without MIMO, TAE shall not exceed 3µs.</w:t>
                      </w:r>
                    </w:p>
                    <w:p w14:paraId="7BE4FE77" w14:textId="77777777" w:rsidR="007C250F" w:rsidRDefault="007C250F" w:rsidP="007C250F">
                      <w:pPr>
                        <w:pStyle w:val="ListParagraph"/>
                        <w:keepNext/>
                        <w:keepLines/>
                        <w:numPr>
                          <w:ilvl w:val="0"/>
                          <w:numId w:val="10"/>
                        </w:numPr>
                        <w:tabs>
                          <w:tab w:val="left" w:pos="-420"/>
                        </w:tabs>
                        <w:overflowPunct/>
                        <w:autoSpaceDE/>
                        <w:autoSpaceDN/>
                        <w:adjustRightInd/>
                        <w:spacing w:after="120"/>
                        <w:ind w:left="720" w:firstLineChars="0" w:hanging="363"/>
                        <w:contextualSpacing/>
                        <w:textAlignment w:val="auto"/>
                        <w:rPr>
                          <w:rFonts w:ascii="Arial" w:eastAsia="SimSun" w:hAnsi="Arial" w:cs="Arial"/>
                          <w:sz w:val="20"/>
                        </w:rPr>
                      </w:pPr>
                      <w:r>
                        <w:rPr>
                          <w:rFonts w:ascii="Arial" w:eastAsia="SimSun" w:hAnsi="Arial" w:cs="Arial"/>
                          <w:sz w:val="20"/>
                          <w:szCs w:val="20"/>
                        </w:rPr>
                        <w:t xml:space="preserve">Option 3: Find a place to add a general clarification that for ATG, intra-band contiguous CA and inter-band CA are supported but DL MIMO is not supported.  </w:t>
                      </w:r>
                    </w:p>
                    <w:p w14:paraId="1B032866" w14:textId="77777777" w:rsidR="007C250F" w:rsidRDefault="007C250F" w:rsidP="007C250F">
                      <w:pPr>
                        <w:keepNext/>
                        <w:keepLines/>
                        <w:rPr>
                          <w:rFonts w:ascii="Arial" w:eastAsia="SimSun" w:hAnsi="Arial" w:cs="Arial"/>
                          <w:sz w:val="20"/>
                        </w:rPr>
                      </w:pPr>
                    </w:p>
                    <w:p w14:paraId="63318C9F" w14:textId="77777777" w:rsidR="007C250F" w:rsidRDefault="007C250F" w:rsidP="000D65AF">
                      <w:pPr>
                        <w:pStyle w:val="ListParagraph"/>
                        <w:keepNext/>
                        <w:keepLines/>
                        <w:ind w:firstLineChars="0" w:firstLine="0"/>
                        <w:outlineLvl w:val="3"/>
                        <w:rPr>
                          <w:rFonts w:ascii="Arial" w:hAnsi="Arial" w:cs="Arial"/>
                          <w:b/>
                          <w:sz w:val="20"/>
                          <w:u w:val="single"/>
                        </w:rPr>
                      </w:pPr>
                      <w:bookmarkStart w:id="8" w:name="OLE_LINK8"/>
                      <w:r>
                        <w:rPr>
                          <w:rFonts w:ascii="Arial" w:hAnsi="Arial" w:cs="Arial"/>
                          <w:b/>
                          <w:sz w:val="20"/>
                          <w:szCs w:val="20"/>
                          <w:u w:val="single"/>
                          <w:lang w:eastAsia="ko-KR"/>
                        </w:rPr>
                        <w:t xml:space="preserve">Issue </w:t>
                      </w:r>
                      <w:r>
                        <w:rPr>
                          <w:rFonts w:ascii="Arial" w:hAnsi="Arial" w:cs="Arial"/>
                          <w:b/>
                          <w:sz w:val="20"/>
                          <w:szCs w:val="20"/>
                          <w:u w:val="single"/>
                        </w:rPr>
                        <w:t>1-3</w:t>
                      </w:r>
                      <w:r>
                        <w:rPr>
                          <w:rFonts w:ascii="Arial" w:eastAsia="SimSun" w:hAnsi="Arial" w:cs="Arial"/>
                          <w:b/>
                          <w:sz w:val="20"/>
                          <w:szCs w:val="20"/>
                          <w:u w:val="single"/>
                          <w:lang w:eastAsia="ko-KR"/>
                        </w:rPr>
                        <w:t>:</w:t>
                      </w:r>
                      <w:bookmarkEnd w:id="8"/>
                      <w:r>
                        <w:rPr>
                          <w:rFonts w:ascii="Arial" w:eastAsia="SimSun" w:hAnsi="Arial" w:cs="Arial"/>
                          <w:b/>
                          <w:sz w:val="20"/>
                          <w:szCs w:val="20"/>
                          <w:u w:val="single"/>
                        </w:rPr>
                        <w:t xml:space="preserve">  RF requirements other than TAE </w:t>
                      </w:r>
                      <w:r>
                        <w:rPr>
                          <w:rFonts w:ascii="Arial" w:hAnsi="Arial" w:cs="Arial"/>
                          <w:b/>
                          <w:sz w:val="20"/>
                          <w:szCs w:val="20"/>
                          <w:u w:val="single"/>
                        </w:rPr>
                        <w:t xml:space="preserve">for ATG BS supporting intra-band contiguous CA and inter-band </w:t>
                      </w:r>
                      <w:proofErr w:type="gramStart"/>
                      <w:r>
                        <w:rPr>
                          <w:rFonts w:ascii="Arial" w:hAnsi="Arial" w:cs="Arial"/>
                          <w:b/>
                          <w:sz w:val="20"/>
                          <w:szCs w:val="20"/>
                          <w:u w:val="single"/>
                        </w:rPr>
                        <w:t>CA</w:t>
                      </w:r>
                      <w:proofErr w:type="gramEnd"/>
                    </w:p>
                    <w:p w14:paraId="7EEC991B"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bookmarkStart w:id="9" w:name="OLE_LINK16"/>
                    </w:p>
                    <w:p w14:paraId="55BAAFD9" w14:textId="77777777" w:rsidR="007C250F" w:rsidRDefault="007C250F" w:rsidP="007C250F">
                      <w:pPr>
                        <w:pStyle w:val="ListParagraph"/>
                        <w:keepNext/>
                        <w:keepLines/>
                        <w:overflowPunct/>
                        <w:autoSpaceDE/>
                        <w:autoSpaceDN/>
                        <w:adjustRightInd/>
                        <w:spacing w:after="120"/>
                        <w:ind w:firstLine="400"/>
                        <w:textAlignment w:val="auto"/>
                        <w:rPr>
                          <w:rFonts w:ascii="Arial" w:eastAsia="SimSun" w:hAnsi="Arial" w:cs="Arial"/>
                          <w:sz w:val="20"/>
                        </w:rPr>
                      </w:pPr>
                      <w:r>
                        <w:rPr>
                          <w:rFonts w:ascii="Arial" w:eastAsia="SimSun" w:hAnsi="Arial" w:cs="Arial"/>
                          <w:sz w:val="20"/>
                          <w:szCs w:val="20"/>
                        </w:rPr>
                        <w:t>Online agreements:</w:t>
                      </w:r>
                    </w:p>
                    <w:p w14:paraId="645F91D0" w14:textId="18A8C97D" w:rsidR="00CB0AB3" w:rsidRPr="007C250F" w:rsidRDefault="007C250F" w:rsidP="00CB0AB3">
                      <w:pPr>
                        <w:pStyle w:val="ListParagraph"/>
                        <w:keepNext/>
                        <w:keepLines/>
                        <w:numPr>
                          <w:ilvl w:val="0"/>
                          <w:numId w:val="14"/>
                        </w:numPr>
                        <w:overflowPunct/>
                        <w:autoSpaceDE/>
                        <w:autoSpaceDN/>
                        <w:adjustRightInd/>
                        <w:spacing w:after="120"/>
                        <w:ind w:firstLineChars="0"/>
                        <w:contextualSpacing/>
                        <w:textAlignment w:val="auto"/>
                        <w:rPr>
                          <w:rFonts w:eastAsia="SimSun"/>
                        </w:rPr>
                      </w:pPr>
                      <w:r>
                        <w:rPr>
                          <w:rFonts w:ascii="Arial" w:eastAsia="SimSun" w:hAnsi="Arial" w:cs="Arial"/>
                          <w:sz w:val="20"/>
                          <w:szCs w:val="20"/>
                        </w:rPr>
                        <w:t>To reuse the same requirements as defined for the legacy NR BS RF CA requirements.</w:t>
                      </w:r>
                      <w:bookmarkEnd w:id="9"/>
                    </w:p>
                  </w:txbxContent>
                </v:textbox>
                <w10:anchorlock/>
              </v:shape>
            </w:pict>
          </mc:Fallback>
        </mc:AlternateContent>
      </w:r>
    </w:p>
    <w:p w14:paraId="74F0A25D" w14:textId="77777777" w:rsidR="00FE6FF7" w:rsidRDefault="00FE6FF7" w:rsidP="00DD2DDC">
      <w:pPr>
        <w:spacing w:after="160" w:line="259" w:lineRule="auto"/>
        <w:rPr>
          <w:rFonts w:eastAsia="Calibri"/>
          <w:sz w:val="21"/>
          <w:lang w:eastAsia="ja-JP"/>
        </w:rPr>
      </w:pPr>
    </w:p>
    <w:p w14:paraId="3ACE8401" w14:textId="77777777" w:rsidR="008D2E35" w:rsidRDefault="00B24B05" w:rsidP="008D2E35">
      <w:pPr>
        <w:spacing w:after="160" w:line="259" w:lineRule="auto"/>
        <w:rPr>
          <w:rFonts w:eastAsia="Calibri"/>
          <w:sz w:val="21"/>
          <w:lang w:eastAsia="ja-JP"/>
        </w:rPr>
      </w:pPr>
      <w:r w:rsidRPr="00BD5FDD">
        <w:rPr>
          <w:rFonts w:eastAsia="Calibri"/>
          <w:sz w:val="21"/>
          <w:lang w:eastAsia="ja-JP"/>
        </w:rPr>
        <w:t xml:space="preserve">The following sessions will </w:t>
      </w:r>
      <w:r w:rsidR="006C1694">
        <w:rPr>
          <w:rFonts w:eastAsia="Calibri"/>
          <w:sz w:val="21"/>
          <w:lang w:eastAsia="ja-JP"/>
        </w:rPr>
        <w:t>discuss the remaining issues, i.e.</w:t>
      </w:r>
      <w:r w:rsidR="00597C10">
        <w:rPr>
          <w:rFonts w:eastAsia="Calibri"/>
          <w:sz w:val="21"/>
          <w:lang w:eastAsia="ja-JP"/>
        </w:rPr>
        <w:t xml:space="preserve"> </w:t>
      </w:r>
      <w:r w:rsidR="006C1694">
        <w:rPr>
          <w:rFonts w:eastAsia="Calibri"/>
          <w:sz w:val="21"/>
          <w:lang w:eastAsia="ja-JP"/>
        </w:rPr>
        <w:t xml:space="preserve">how to handle </w:t>
      </w:r>
      <w:r w:rsidR="00597C10">
        <w:rPr>
          <w:rFonts w:eastAsia="Calibri"/>
          <w:sz w:val="21"/>
          <w:lang w:eastAsia="ja-JP"/>
        </w:rPr>
        <w:t xml:space="preserve">CA TAE requirements for </w:t>
      </w:r>
      <w:r w:rsidRPr="00BD5FDD">
        <w:rPr>
          <w:rFonts w:eastAsia="Calibri"/>
          <w:sz w:val="21"/>
          <w:lang w:eastAsia="ja-JP"/>
        </w:rPr>
        <w:t xml:space="preserve">ATG </w:t>
      </w:r>
      <w:r w:rsidR="00FE6FF7">
        <w:rPr>
          <w:rFonts w:eastAsia="Calibri"/>
          <w:sz w:val="21"/>
          <w:lang w:eastAsia="ja-JP"/>
        </w:rPr>
        <w:t xml:space="preserve">BS </w:t>
      </w:r>
      <w:r w:rsidR="00597C10">
        <w:rPr>
          <w:rFonts w:eastAsia="Calibri"/>
          <w:sz w:val="21"/>
          <w:lang w:eastAsia="ja-JP"/>
        </w:rPr>
        <w:t>in TS 38.104</w:t>
      </w:r>
      <w:r w:rsidR="00FE6FF7">
        <w:rPr>
          <w:rFonts w:eastAsia="Calibri"/>
          <w:sz w:val="21"/>
          <w:lang w:eastAsia="ja-JP"/>
        </w:rPr>
        <w:t>.</w:t>
      </w:r>
    </w:p>
    <w:p w14:paraId="2AA0E583" w14:textId="09A1A9A5" w:rsidR="00D27B9B" w:rsidRDefault="00FF33E5" w:rsidP="008D2E35">
      <w:pPr>
        <w:spacing w:after="160" w:line="259" w:lineRule="auto"/>
        <w:rPr>
          <w:rFonts w:eastAsia="Calibri"/>
          <w:sz w:val="21"/>
          <w:lang w:eastAsia="ja-JP"/>
        </w:rPr>
      </w:pPr>
      <w:r>
        <w:rPr>
          <w:rFonts w:eastAsia="Calibri"/>
          <w:sz w:val="21"/>
          <w:lang w:eastAsia="ja-JP"/>
        </w:rPr>
        <w:lastRenderedPageBreak/>
        <w:t xml:space="preserve">In Rel-18, </w:t>
      </w:r>
      <w:r w:rsidR="00467BB0">
        <w:rPr>
          <w:rFonts w:eastAsia="Calibri"/>
          <w:sz w:val="21"/>
          <w:lang w:eastAsia="ja-JP"/>
        </w:rPr>
        <w:t xml:space="preserve">the </w:t>
      </w:r>
      <w:r>
        <w:rPr>
          <w:rFonts w:eastAsia="Calibri"/>
          <w:sz w:val="21"/>
          <w:lang w:eastAsia="ja-JP"/>
        </w:rPr>
        <w:t xml:space="preserve">ATG BS </w:t>
      </w:r>
      <w:r w:rsidR="00467BB0">
        <w:rPr>
          <w:rFonts w:eastAsia="Calibri"/>
          <w:sz w:val="21"/>
          <w:lang w:eastAsia="ja-JP"/>
        </w:rPr>
        <w:t>does not have a designated</w:t>
      </w:r>
      <w:r>
        <w:rPr>
          <w:rFonts w:eastAsia="Calibri"/>
          <w:sz w:val="21"/>
          <w:lang w:eastAsia="ja-JP"/>
        </w:rPr>
        <w:t xml:space="preserve"> core requirement</w:t>
      </w:r>
      <w:r w:rsidR="00467BB0">
        <w:rPr>
          <w:rFonts w:eastAsia="Calibri"/>
          <w:sz w:val="21"/>
          <w:lang w:eastAsia="ja-JP"/>
        </w:rPr>
        <w:t>, instead, it</w:t>
      </w:r>
      <w:r w:rsidR="00911D59">
        <w:rPr>
          <w:rFonts w:eastAsia="Calibri"/>
          <w:sz w:val="21"/>
          <w:lang w:eastAsia="ja-JP"/>
        </w:rPr>
        <w:t xml:space="preserve"> follow</w:t>
      </w:r>
      <w:r w:rsidR="00B73447">
        <w:rPr>
          <w:rFonts w:eastAsia="Calibri"/>
          <w:sz w:val="21"/>
          <w:lang w:eastAsia="ja-JP"/>
        </w:rPr>
        <w:t>s</w:t>
      </w:r>
      <w:r w:rsidR="00911D59">
        <w:rPr>
          <w:rFonts w:eastAsia="Calibri"/>
          <w:sz w:val="21"/>
          <w:lang w:eastAsia="ja-JP"/>
        </w:rPr>
        <w:t xml:space="preserve"> the existing NR BS requirement</w:t>
      </w:r>
      <w:r w:rsidR="0078544A">
        <w:rPr>
          <w:rFonts w:eastAsia="Calibri"/>
          <w:sz w:val="21"/>
          <w:lang w:eastAsia="ja-JP"/>
        </w:rPr>
        <w:t xml:space="preserve">, the only exception is </w:t>
      </w:r>
      <w:r w:rsidR="00B73447">
        <w:rPr>
          <w:rFonts w:eastAsia="Calibri"/>
          <w:sz w:val="21"/>
          <w:lang w:eastAsia="ja-JP"/>
        </w:rPr>
        <w:t xml:space="preserve">the </w:t>
      </w:r>
      <w:r w:rsidR="0078544A">
        <w:rPr>
          <w:rFonts w:eastAsia="Calibri"/>
          <w:sz w:val="21"/>
          <w:lang w:eastAsia="ja-JP"/>
        </w:rPr>
        <w:t>TAE requirement</w:t>
      </w:r>
      <w:r w:rsidR="00B73447">
        <w:rPr>
          <w:rFonts w:eastAsia="Calibri"/>
          <w:sz w:val="21"/>
          <w:lang w:eastAsia="ja-JP"/>
        </w:rPr>
        <w:t>.</w:t>
      </w:r>
    </w:p>
    <w:p w14:paraId="3C398FDF" w14:textId="2618FE32" w:rsidR="00365A75" w:rsidRPr="008D2E35" w:rsidRDefault="00D27B9B" w:rsidP="008D2E35">
      <w:pPr>
        <w:spacing w:after="160" w:line="259" w:lineRule="auto"/>
        <w:rPr>
          <w:rFonts w:eastAsia="Calibri"/>
          <w:sz w:val="21"/>
          <w:lang w:eastAsia="ja-JP"/>
        </w:rPr>
      </w:pPr>
      <w:r>
        <w:rPr>
          <w:rFonts w:eastAsia="Calibri"/>
          <w:sz w:val="21"/>
          <w:lang w:eastAsia="ja-JP"/>
        </w:rPr>
        <w:t>It</w:t>
      </w:r>
      <w:r w:rsidR="008D2E35">
        <w:rPr>
          <w:rFonts w:eastAsia="Calibri"/>
          <w:sz w:val="21"/>
          <w:lang w:eastAsia="ja-JP"/>
        </w:rPr>
        <w:t xml:space="preserve"> has been agreed </w:t>
      </w:r>
      <w:r w:rsidR="00B73447">
        <w:rPr>
          <w:rFonts w:eastAsia="Calibri"/>
          <w:sz w:val="21"/>
          <w:lang w:eastAsia="ja-JP"/>
        </w:rPr>
        <w:t xml:space="preserve">in the RAN4 #110bis meeting </w:t>
      </w:r>
      <w:r w:rsidR="008D2E35">
        <w:rPr>
          <w:rFonts w:eastAsia="Calibri"/>
          <w:sz w:val="21"/>
          <w:lang w:eastAsia="ja-JP"/>
        </w:rPr>
        <w:t xml:space="preserve">to reuse the existing NR BS TAE requirements for ATG BS which supports </w:t>
      </w:r>
      <w:r>
        <w:rPr>
          <w:rFonts w:eastAsia="Calibri"/>
          <w:sz w:val="21"/>
          <w:lang w:eastAsia="ja-JP"/>
        </w:rPr>
        <w:t xml:space="preserve">intra-band contiguous and inter-band </w:t>
      </w:r>
      <w:r w:rsidR="008D2E35">
        <w:rPr>
          <w:rFonts w:eastAsia="Calibri"/>
          <w:sz w:val="21"/>
          <w:lang w:eastAsia="ja-JP"/>
        </w:rPr>
        <w:t>CA</w:t>
      </w:r>
      <w:r w:rsidR="00B73447">
        <w:rPr>
          <w:rFonts w:eastAsia="Calibri"/>
          <w:sz w:val="21"/>
          <w:lang w:eastAsia="ja-JP"/>
        </w:rPr>
        <w:t xml:space="preserve">. therefore, it </w:t>
      </w:r>
      <w:r w:rsidR="00436F12">
        <w:rPr>
          <w:rFonts w:eastAsia="Calibri"/>
          <w:sz w:val="21"/>
          <w:lang w:eastAsia="ja-JP"/>
        </w:rPr>
        <w:t xml:space="preserve">is suggested </w:t>
      </w:r>
      <w:r w:rsidR="008F5164">
        <w:rPr>
          <w:rFonts w:eastAsia="Calibri"/>
          <w:sz w:val="21"/>
          <w:lang w:eastAsia="ja-JP"/>
        </w:rPr>
        <w:t>first to</w:t>
      </w:r>
      <w:r w:rsidR="00436F12">
        <w:rPr>
          <w:rFonts w:eastAsia="Calibri"/>
          <w:sz w:val="21"/>
          <w:lang w:eastAsia="ja-JP"/>
        </w:rPr>
        <w:t xml:space="preserve"> remove the sentence “There is no TAE requirement for ATG </w:t>
      </w:r>
      <w:r w:rsidR="000C4879">
        <w:rPr>
          <w:rFonts w:eastAsia="Calibri"/>
          <w:sz w:val="21"/>
          <w:lang w:eastAsia="ja-JP"/>
        </w:rPr>
        <w:t>BS</w:t>
      </w:r>
      <w:r w:rsidR="00436F12">
        <w:rPr>
          <w:rFonts w:eastAsia="Calibri"/>
          <w:sz w:val="21"/>
          <w:lang w:eastAsia="ja-JP"/>
        </w:rPr>
        <w:t>”</w:t>
      </w:r>
      <w:r w:rsidR="000C4879">
        <w:rPr>
          <w:rFonts w:eastAsia="Calibri"/>
          <w:sz w:val="21"/>
          <w:lang w:eastAsia="ja-JP"/>
        </w:rPr>
        <w:t xml:space="preserve"> in 6.5.3.1 and 9.6.3, and then</w:t>
      </w:r>
      <w:r w:rsidR="00FB3BFE">
        <w:rPr>
          <w:rFonts w:eastAsia="Calibri"/>
          <w:sz w:val="21"/>
          <w:lang w:eastAsia="ja-JP"/>
        </w:rPr>
        <w:t xml:space="preserve"> refer to the </w:t>
      </w:r>
      <w:r w:rsidR="00AD4F45">
        <w:rPr>
          <w:rFonts w:eastAsia="Calibri"/>
          <w:sz w:val="21"/>
          <w:lang w:eastAsia="ja-JP"/>
        </w:rPr>
        <w:t xml:space="preserve">existing NR BS TAE requirement for the ATG BS that supports CA operation. </w:t>
      </w:r>
    </w:p>
    <w:p w14:paraId="351FF0C3" w14:textId="77777777" w:rsidR="00597C10" w:rsidRDefault="00597C10" w:rsidP="008031CF">
      <w:pPr>
        <w:rPr>
          <w:sz w:val="21"/>
          <w:szCs w:val="21"/>
          <w:lang w:eastAsia="en-GB"/>
        </w:rPr>
      </w:pPr>
    </w:p>
    <w:p w14:paraId="527E14AD" w14:textId="3F53CEFE" w:rsidR="003B04F5" w:rsidRPr="008F5164" w:rsidRDefault="003E21B3" w:rsidP="003B04F5">
      <w:pPr>
        <w:pStyle w:val="Observation"/>
        <w:numPr>
          <w:ilvl w:val="0"/>
          <w:numId w:val="4"/>
        </w:numPr>
        <w:tabs>
          <w:tab w:val="clear" w:pos="1304"/>
        </w:tabs>
        <w:ind w:left="1701" w:hanging="1701"/>
        <w:rPr>
          <w:b w:val="0"/>
          <w:bCs w:val="0"/>
          <w:sz w:val="21"/>
          <w:szCs w:val="24"/>
        </w:rPr>
      </w:pPr>
      <w:bookmarkStart w:id="10" w:name="_Toc165998480"/>
      <w:r w:rsidRPr="008F5164">
        <w:rPr>
          <w:b w:val="0"/>
          <w:bCs w:val="0"/>
          <w:sz w:val="21"/>
          <w:szCs w:val="24"/>
        </w:rPr>
        <w:t>In Rel-18, the ATG BS does not have a designated core requirement, instead, it follows the existing NR BS requirement, the only exception is the TAE requirement.</w:t>
      </w:r>
      <w:bookmarkEnd w:id="10"/>
    </w:p>
    <w:p w14:paraId="630179FC" w14:textId="4EC897AA" w:rsidR="00F25BF6" w:rsidRPr="002F1E0F" w:rsidRDefault="002F1E0F" w:rsidP="00F25BF6">
      <w:pPr>
        <w:pStyle w:val="Proposal"/>
        <w:numPr>
          <w:ilvl w:val="0"/>
          <w:numId w:val="3"/>
        </w:numPr>
        <w:tabs>
          <w:tab w:val="clear" w:pos="1304"/>
        </w:tabs>
        <w:ind w:left="1701" w:hanging="1701"/>
        <w:rPr>
          <w:b w:val="0"/>
          <w:bCs w:val="0"/>
        </w:rPr>
      </w:pPr>
      <w:bookmarkStart w:id="11" w:name="_Toc165998481"/>
      <w:r w:rsidRPr="002F1E0F">
        <w:rPr>
          <w:b w:val="0"/>
          <w:bCs w:val="0"/>
          <w:sz w:val="21"/>
          <w:szCs w:val="24"/>
        </w:rPr>
        <w:t>R</w:t>
      </w:r>
      <w:r w:rsidRPr="002F1E0F">
        <w:rPr>
          <w:rFonts w:eastAsia="Calibri"/>
          <w:b w:val="0"/>
          <w:bCs w:val="0"/>
          <w:sz w:val="21"/>
          <w:lang w:eastAsia="ja-JP"/>
        </w:rPr>
        <w:t>emove the sentence “There is no TAE requirement for ATG BS” in 6.5.3.1 and 9.6.3, and then refer to the existing NR BS TAE requirement for the ATG BS that supports CA operation.</w:t>
      </w:r>
      <w:bookmarkEnd w:id="11"/>
    </w:p>
    <w:p w14:paraId="5BC29294" w14:textId="77777777" w:rsidR="003B04F5" w:rsidRPr="00BD5FDD" w:rsidRDefault="003B04F5" w:rsidP="008031CF">
      <w:pPr>
        <w:rPr>
          <w:sz w:val="21"/>
          <w:szCs w:val="21"/>
          <w:lang w:eastAsia="en-GB"/>
        </w:rPr>
      </w:pPr>
    </w:p>
    <w:p w14:paraId="37F9CF79" w14:textId="77777777" w:rsidR="002731AF" w:rsidRDefault="002731AF" w:rsidP="008031CF">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5564CC88" w14:textId="008FC481" w:rsidR="00B12CFC" w:rsidRPr="002100C7" w:rsidRDefault="00B12CFC" w:rsidP="00B12CFC">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A154DA">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7556463C" w14:textId="686336A3" w:rsidR="00C84A7F" w:rsidRDefault="00B12CFC">
      <w:pPr>
        <w:pStyle w:val="TableofFigures"/>
        <w:tabs>
          <w:tab w:val="right" w:leader="dot" w:pos="9631"/>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5998480" w:history="1">
        <w:r w:rsidR="00C84A7F" w:rsidRPr="001E2BF3">
          <w:rPr>
            <w:rStyle w:val="Hyperlink"/>
            <w:noProof/>
          </w:rPr>
          <w:t>Observation 1</w:t>
        </w:r>
        <w:r w:rsidR="00C84A7F">
          <w:rPr>
            <w:rFonts w:asciiTheme="minorHAnsi" w:eastAsiaTheme="minorEastAsia" w:hAnsiTheme="minorHAnsi"/>
            <w:b w:val="0"/>
            <w:noProof/>
            <w:kern w:val="2"/>
            <w:sz w:val="22"/>
            <w:lang w:val="en-SE" w:eastAsia="en-SE"/>
            <w14:ligatures w14:val="standardContextual"/>
          </w:rPr>
          <w:tab/>
        </w:r>
        <w:r w:rsidR="00C84A7F" w:rsidRPr="001E2BF3">
          <w:rPr>
            <w:rStyle w:val="Hyperlink"/>
            <w:noProof/>
          </w:rPr>
          <w:t>In Rel-18, the ATG BS does not have a designated core requirement, instead, it follows the existing NR BS requirement, the only exception is the TAE requirement.</w:t>
        </w:r>
      </w:hyperlink>
    </w:p>
    <w:p w14:paraId="08AC6936" w14:textId="1A268955" w:rsidR="003025A7" w:rsidRPr="002100C7" w:rsidRDefault="00B12CFC" w:rsidP="003025A7">
      <w:pPr>
        <w:pStyle w:val="BodyText"/>
        <w:spacing w:after="120" w:line="259" w:lineRule="auto"/>
        <w:jc w:val="both"/>
        <w:rPr>
          <w:rFonts w:ascii="Arial" w:eastAsiaTheme="minorHAnsi" w:hAnsi="Arial" w:cstheme="minorBidi"/>
          <w:sz w:val="20"/>
          <w:szCs w:val="22"/>
        </w:rPr>
      </w:pPr>
      <w:r>
        <w:rPr>
          <w:b/>
          <w:bCs/>
        </w:rPr>
        <w:fldChar w:fldCharType="end"/>
      </w:r>
      <w:r w:rsidR="003025A7" w:rsidRPr="002100C7">
        <w:rPr>
          <w:rFonts w:ascii="Arial" w:eastAsiaTheme="minorHAnsi" w:hAnsi="Arial" w:cstheme="minorBidi"/>
          <w:sz w:val="20"/>
          <w:szCs w:val="22"/>
        </w:rPr>
        <w:t>Based on the discussion in the previous sections we propose the following:</w:t>
      </w:r>
    </w:p>
    <w:p w14:paraId="3C50EDBC" w14:textId="3D3FBA43" w:rsidR="00C84A7F" w:rsidRDefault="003025A7">
      <w:pPr>
        <w:pStyle w:val="TableofFigures"/>
        <w:tabs>
          <w:tab w:val="right" w:leader="dot" w:pos="9631"/>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5998481" w:history="1">
        <w:r w:rsidR="00C84A7F" w:rsidRPr="00F94EBB">
          <w:rPr>
            <w:rStyle w:val="Hyperlink"/>
            <w:noProof/>
          </w:rPr>
          <w:t>Proposal 1</w:t>
        </w:r>
        <w:r w:rsidR="00C84A7F">
          <w:rPr>
            <w:rFonts w:asciiTheme="minorHAnsi" w:eastAsiaTheme="minorEastAsia" w:hAnsiTheme="minorHAnsi"/>
            <w:b w:val="0"/>
            <w:noProof/>
            <w:kern w:val="2"/>
            <w:sz w:val="22"/>
            <w:lang w:val="en-SE" w:eastAsia="en-SE"/>
            <w14:ligatures w14:val="standardContextual"/>
          </w:rPr>
          <w:tab/>
        </w:r>
        <w:r w:rsidR="00C84A7F" w:rsidRPr="00F94EBB">
          <w:rPr>
            <w:rStyle w:val="Hyperlink"/>
            <w:noProof/>
          </w:rPr>
          <w:t>R</w:t>
        </w:r>
        <w:r w:rsidR="00C84A7F" w:rsidRPr="00F94EBB">
          <w:rPr>
            <w:rStyle w:val="Hyperlink"/>
            <w:rFonts w:eastAsia="Calibri"/>
            <w:noProof/>
            <w:lang w:eastAsia="ja-JP"/>
          </w:rPr>
          <w:t>emove the sentence “There is no TAE requirement for ATG BS” in 6.5.3.1 and 9.6.3, and then refer to the existing NR BS TAE requirement for the ATG BS that supports CA operation.</w:t>
        </w:r>
      </w:hyperlink>
    </w:p>
    <w:p w14:paraId="7EB7D29A" w14:textId="4CAFDFA1" w:rsidR="004D1E1D" w:rsidRPr="001C2D88" w:rsidRDefault="003025A7" w:rsidP="003025A7">
      <w:pPr>
        <w:rPr>
          <w:rFonts w:ascii="Arial" w:hAnsi="Arial" w:cs="Arial"/>
          <w:lang w:eastAsia="en-US"/>
        </w:rPr>
      </w:pPr>
      <w:r>
        <w:rPr>
          <w:b/>
          <w:bCs/>
        </w:rPr>
        <w:fldChar w:fldCharType="end"/>
      </w:r>
    </w:p>
    <w:p w14:paraId="6A512A9C" w14:textId="64D8EACE" w:rsidR="00AA1712" w:rsidRPr="002100C7" w:rsidRDefault="00AA1712" w:rsidP="002100C7">
      <w:pPr>
        <w:pStyle w:val="BodyText"/>
        <w:spacing w:after="120" w:line="259" w:lineRule="auto"/>
        <w:jc w:val="both"/>
        <w:rPr>
          <w:rFonts w:ascii="Arial" w:eastAsiaTheme="minorHAnsi" w:hAnsi="Arial" w:cstheme="minorBidi"/>
          <w:sz w:val="20"/>
          <w:szCs w:val="22"/>
        </w:rPr>
      </w:pPr>
    </w:p>
    <w:p w14:paraId="24E880E0" w14:textId="6CF94C9D" w:rsidR="00C406BE" w:rsidRPr="001C2D88" w:rsidRDefault="00C406BE" w:rsidP="00E821A1">
      <w:pPr>
        <w:jc w:val="both"/>
        <w:rPr>
          <w:rFonts w:ascii="Arial" w:hAnsi="Arial" w:cs="Arial"/>
          <w:b/>
        </w:rPr>
      </w:pP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7AEF5AE6" w:rsidR="00E9291F" w:rsidRPr="00F434DA" w:rsidRDefault="00DD531C" w:rsidP="00DD531C">
      <w:pPr>
        <w:pStyle w:val="ListParagraph"/>
        <w:numPr>
          <w:ilvl w:val="0"/>
          <w:numId w:val="13"/>
        </w:numPr>
        <w:ind w:firstLineChars="0"/>
        <w:jc w:val="both"/>
        <w:rPr>
          <w:rFonts w:ascii="Arial" w:hAnsi="Arial" w:cs="Arial"/>
          <w:iCs/>
        </w:rPr>
      </w:pPr>
      <w:bookmarkStart w:id="12" w:name="_Ref129967845"/>
      <w:r w:rsidRPr="00DD531C">
        <w:rPr>
          <w:sz w:val="22"/>
          <w:szCs w:val="22"/>
          <w:lang w:val="en-GB"/>
        </w:rPr>
        <w:t>RP-240804, New WID on Enhancements for Air-to-ground network fo</w:t>
      </w:r>
      <w:r>
        <w:rPr>
          <w:sz w:val="22"/>
          <w:szCs w:val="22"/>
          <w:lang w:val="en-GB"/>
        </w:rPr>
        <w:t>r</w:t>
      </w:r>
      <w:r w:rsidRPr="00DD531C">
        <w:rPr>
          <w:sz w:val="22"/>
          <w:szCs w:val="22"/>
          <w:lang w:val="en-GB"/>
        </w:rPr>
        <w:t xml:space="preserve"> NR</w:t>
      </w:r>
      <w:r w:rsidRPr="00DD531C">
        <w:rPr>
          <w:sz w:val="22"/>
          <w:szCs w:val="22"/>
        </w:rPr>
        <w:t>.</w:t>
      </w:r>
      <w:bookmarkEnd w:id="12"/>
    </w:p>
    <w:p w14:paraId="1F6EA43D" w14:textId="1622E797" w:rsidR="00D049ED" w:rsidRPr="00DD531C" w:rsidRDefault="00597C10" w:rsidP="00DD531C">
      <w:pPr>
        <w:pStyle w:val="ListParagraph"/>
        <w:numPr>
          <w:ilvl w:val="0"/>
          <w:numId w:val="13"/>
        </w:numPr>
        <w:ind w:firstLineChars="0"/>
        <w:jc w:val="both"/>
        <w:rPr>
          <w:rFonts w:ascii="Arial" w:hAnsi="Arial" w:cs="Arial"/>
          <w:iCs/>
        </w:rPr>
      </w:pPr>
      <w:bookmarkStart w:id="13" w:name="_Ref164937679"/>
      <w:r>
        <w:rPr>
          <w:iCs/>
          <w:sz w:val="22"/>
          <w:szCs w:val="22"/>
        </w:rPr>
        <w:t>R4-</w:t>
      </w:r>
      <w:r w:rsidR="0018439F">
        <w:rPr>
          <w:iCs/>
          <w:sz w:val="22"/>
          <w:szCs w:val="22"/>
        </w:rPr>
        <w:t xml:space="preserve">2406089, Way Forward for </w:t>
      </w:r>
      <w:r w:rsidR="009F41EE">
        <w:rPr>
          <w:iCs/>
          <w:sz w:val="22"/>
          <w:szCs w:val="22"/>
        </w:rPr>
        <w:t xml:space="preserve">[110bis][312] </w:t>
      </w:r>
      <w:proofErr w:type="spellStart"/>
      <w:r w:rsidR="009F41EE">
        <w:rPr>
          <w:iCs/>
          <w:sz w:val="22"/>
          <w:szCs w:val="22"/>
        </w:rPr>
        <w:t>NR_ATG_enh</w:t>
      </w:r>
      <w:bookmarkEnd w:id="13"/>
      <w:proofErr w:type="spellEnd"/>
    </w:p>
    <w:sectPr w:rsidR="00D049ED" w:rsidRPr="00DD531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6E42" w14:textId="77777777" w:rsidR="00BF1631" w:rsidRDefault="00BF1631" w:rsidP="00CF21FF">
      <w:r>
        <w:separator/>
      </w:r>
    </w:p>
  </w:endnote>
  <w:endnote w:type="continuationSeparator" w:id="0">
    <w:p w14:paraId="74858D2A" w14:textId="77777777" w:rsidR="00BF1631" w:rsidRDefault="00BF1631" w:rsidP="00CF21FF">
      <w:r>
        <w:continuationSeparator/>
      </w:r>
    </w:p>
  </w:endnote>
  <w:endnote w:type="continuationNotice" w:id="1">
    <w:p w14:paraId="1700D700" w14:textId="77777777" w:rsidR="00BF1631" w:rsidRDefault="00BF1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33F2" w14:textId="77777777" w:rsidR="00BF1631" w:rsidRDefault="00BF1631" w:rsidP="00CF21FF">
      <w:r>
        <w:separator/>
      </w:r>
    </w:p>
  </w:footnote>
  <w:footnote w:type="continuationSeparator" w:id="0">
    <w:p w14:paraId="6A289007" w14:textId="77777777" w:rsidR="00BF1631" w:rsidRDefault="00BF1631" w:rsidP="00CF21FF">
      <w:r>
        <w:continuationSeparator/>
      </w:r>
    </w:p>
  </w:footnote>
  <w:footnote w:type="continuationNotice" w:id="1">
    <w:p w14:paraId="40ED004B" w14:textId="77777777" w:rsidR="00BF1631" w:rsidRDefault="00BF16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11AE7FB0"/>
    <w:lvl w:ilvl="0" w:tplc="21D2FCCE">
      <w:start w:val="1"/>
      <w:numFmt w:val="decimal"/>
      <w:lvlText w:val="Proposal %1"/>
      <w:lvlJc w:val="left"/>
      <w:pPr>
        <w:tabs>
          <w:tab w:val="num" w:pos="1304"/>
        </w:tabs>
        <w:ind w:left="1304" w:hanging="1304"/>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3E2B2F"/>
    <w:multiLevelType w:val="hybridMultilevel"/>
    <w:tmpl w:val="EEA8446A"/>
    <w:lvl w:ilvl="0" w:tplc="F34EB3A8">
      <w:start w:val="1"/>
      <w:numFmt w:val="decimal"/>
      <w:lvlText w:val="Observation %1"/>
      <w:lvlJc w:val="left"/>
      <w:pPr>
        <w:tabs>
          <w:tab w:val="num" w:pos="1304"/>
        </w:tabs>
        <w:ind w:left="1304" w:hanging="1304"/>
      </w:pPr>
      <w:rPr>
        <w:rFonts w:hint="default"/>
        <w:b/>
        <w:bCs/>
        <w:sz w:val="20"/>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22687A"/>
    <w:multiLevelType w:val="hybridMultilevel"/>
    <w:tmpl w:val="D098ED72"/>
    <w:lvl w:ilvl="0" w:tplc="20A23B7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3"/>
  </w:num>
  <w:num w:numId="2" w16cid:durableId="206456521">
    <w:abstractNumId w:val="6"/>
  </w:num>
  <w:num w:numId="3" w16cid:durableId="2114860448">
    <w:abstractNumId w:val="0"/>
  </w:num>
  <w:num w:numId="4" w16cid:durableId="236524273">
    <w:abstractNumId w:val="7"/>
  </w:num>
  <w:num w:numId="5" w16cid:durableId="124935407">
    <w:abstractNumId w:val="8"/>
  </w:num>
  <w:num w:numId="6" w16cid:durableId="910846781">
    <w:abstractNumId w:val="11"/>
  </w:num>
  <w:num w:numId="7" w16cid:durableId="730082185">
    <w:abstractNumId w:val="10"/>
  </w:num>
  <w:num w:numId="8" w16cid:durableId="575479695">
    <w:abstractNumId w:val="5"/>
  </w:num>
  <w:num w:numId="9" w16cid:durableId="1112823213">
    <w:abstractNumId w:val="4"/>
  </w:num>
  <w:num w:numId="10" w16cid:durableId="614143105">
    <w:abstractNumId w:val="9"/>
  </w:num>
  <w:num w:numId="11" w16cid:durableId="1213073752">
    <w:abstractNumId w:val="2"/>
  </w:num>
  <w:num w:numId="12" w16cid:durableId="341251335">
    <w:abstractNumId w:val="12"/>
  </w:num>
  <w:num w:numId="13" w16cid:durableId="338388040">
    <w:abstractNumId w:val="13"/>
  </w:num>
  <w:num w:numId="14" w16cid:durableId="164732314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791"/>
    <w:rsid w:val="0000410B"/>
    <w:rsid w:val="00004165"/>
    <w:rsid w:val="0000473D"/>
    <w:rsid w:val="00005107"/>
    <w:rsid w:val="0000531E"/>
    <w:rsid w:val="0000617B"/>
    <w:rsid w:val="00007726"/>
    <w:rsid w:val="00007FAA"/>
    <w:rsid w:val="00010C8A"/>
    <w:rsid w:val="000124EF"/>
    <w:rsid w:val="000129BD"/>
    <w:rsid w:val="00014511"/>
    <w:rsid w:val="00014686"/>
    <w:rsid w:val="0001480C"/>
    <w:rsid w:val="00014AF6"/>
    <w:rsid w:val="000165A6"/>
    <w:rsid w:val="00016751"/>
    <w:rsid w:val="00016C19"/>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3A3"/>
    <w:rsid w:val="000829B5"/>
    <w:rsid w:val="00082C46"/>
    <w:rsid w:val="000830BC"/>
    <w:rsid w:val="0008338D"/>
    <w:rsid w:val="0008400F"/>
    <w:rsid w:val="000844F9"/>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879"/>
    <w:rsid w:val="000C4E8B"/>
    <w:rsid w:val="000C5AF7"/>
    <w:rsid w:val="000C6F34"/>
    <w:rsid w:val="000C7379"/>
    <w:rsid w:val="000D08D2"/>
    <w:rsid w:val="000D09FD"/>
    <w:rsid w:val="000D19DE"/>
    <w:rsid w:val="000D26F2"/>
    <w:rsid w:val="000D2D31"/>
    <w:rsid w:val="000D2DDA"/>
    <w:rsid w:val="000D37AA"/>
    <w:rsid w:val="000D44FB"/>
    <w:rsid w:val="000D4CD0"/>
    <w:rsid w:val="000D574B"/>
    <w:rsid w:val="000D5C52"/>
    <w:rsid w:val="000D5E1F"/>
    <w:rsid w:val="000D6467"/>
    <w:rsid w:val="000D65AF"/>
    <w:rsid w:val="000D6ACE"/>
    <w:rsid w:val="000D6CFC"/>
    <w:rsid w:val="000D7C76"/>
    <w:rsid w:val="000D7EC7"/>
    <w:rsid w:val="000E0F10"/>
    <w:rsid w:val="000E1568"/>
    <w:rsid w:val="000E1936"/>
    <w:rsid w:val="000E1CBB"/>
    <w:rsid w:val="000E2EB7"/>
    <w:rsid w:val="000E320C"/>
    <w:rsid w:val="000E3CEF"/>
    <w:rsid w:val="000E4DF7"/>
    <w:rsid w:val="000E537B"/>
    <w:rsid w:val="000E54F8"/>
    <w:rsid w:val="000E558C"/>
    <w:rsid w:val="000E558F"/>
    <w:rsid w:val="000E57D0"/>
    <w:rsid w:val="000E5D86"/>
    <w:rsid w:val="000E622F"/>
    <w:rsid w:val="000E7858"/>
    <w:rsid w:val="000F06FA"/>
    <w:rsid w:val="000F0F7B"/>
    <w:rsid w:val="000F111D"/>
    <w:rsid w:val="000F169B"/>
    <w:rsid w:val="000F2E48"/>
    <w:rsid w:val="000F3315"/>
    <w:rsid w:val="000F39CA"/>
    <w:rsid w:val="000F45A3"/>
    <w:rsid w:val="000F50E9"/>
    <w:rsid w:val="000F5368"/>
    <w:rsid w:val="00100674"/>
    <w:rsid w:val="00102BD5"/>
    <w:rsid w:val="00102D48"/>
    <w:rsid w:val="00102EC4"/>
    <w:rsid w:val="00104963"/>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7BD6"/>
    <w:rsid w:val="00117E7D"/>
    <w:rsid w:val="00120215"/>
    <w:rsid w:val="001206C2"/>
    <w:rsid w:val="00121978"/>
    <w:rsid w:val="00121A8C"/>
    <w:rsid w:val="00122880"/>
    <w:rsid w:val="00123422"/>
    <w:rsid w:val="00123B5B"/>
    <w:rsid w:val="00123D39"/>
    <w:rsid w:val="00124981"/>
    <w:rsid w:val="00124B56"/>
    <w:rsid w:val="00124B6A"/>
    <w:rsid w:val="00127DAC"/>
    <w:rsid w:val="001303A7"/>
    <w:rsid w:val="00130462"/>
    <w:rsid w:val="001311A7"/>
    <w:rsid w:val="00131F36"/>
    <w:rsid w:val="0013318F"/>
    <w:rsid w:val="00135713"/>
    <w:rsid w:val="00135B3E"/>
    <w:rsid w:val="00136531"/>
    <w:rsid w:val="00136D4C"/>
    <w:rsid w:val="00136DAA"/>
    <w:rsid w:val="0014025E"/>
    <w:rsid w:val="00142538"/>
    <w:rsid w:val="00142642"/>
    <w:rsid w:val="00142703"/>
    <w:rsid w:val="0014272D"/>
    <w:rsid w:val="00142BB9"/>
    <w:rsid w:val="00142BF3"/>
    <w:rsid w:val="00143B82"/>
    <w:rsid w:val="00144F96"/>
    <w:rsid w:val="00145A99"/>
    <w:rsid w:val="00145B83"/>
    <w:rsid w:val="00145E8C"/>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67605"/>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439F"/>
    <w:rsid w:val="001850E3"/>
    <w:rsid w:val="00185216"/>
    <w:rsid w:val="00185323"/>
    <w:rsid w:val="0018534C"/>
    <w:rsid w:val="0018670E"/>
    <w:rsid w:val="00186CAA"/>
    <w:rsid w:val="00186E75"/>
    <w:rsid w:val="00187862"/>
    <w:rsid w:val="00190036"/>
    <w:rsid w:val="0019081D"/>
    <w:rsid w:val="0019099B"/>
    <w:rsid w:val="00191718"/>
    <w:rsid w:val="00191915"/>
    <w:rsid w:val="00191BFE"/>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5532"/>
    <w:rsid w:val="001A59CB"/>
    <w:rsid w:val="001A6DCA"/>
    <w:rsid w:val="001B055F"/>
    <w:rsid w:val="001B0EBF"/>
    <w:rsid w:val="001B17AD"/>
    <w:rsid w:val="001B2285"/>
    <w:rsid w:val="001B2C4C"/>
    <w:rsid w:val="001B3517"/>
    <w:rsid w:val="001B3D07"/>
    <w:rsid w:val="001B474C"/>
    <w:rsid w:val="001B479E"/>
    <w:rsid w:val="001B4C55"/>
    <w:rsid w:val="001B4F8F"/>
    <w:rsid w:val="001B55D3"/>
    <w:rsid w:val="001B678F"/>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1890"/>
    <w:rsid w:val="001E20EF"/>
    <w:rsid w:val="001E2325"/>
    <w:rsid w:val="001E29A1"/>
    <w:rsid w:val="001E4218"/>
    <w:rsid w:val="001E4B26"/>
    <w:rsid w:val="001E5332"/>
    <w:rsid w:val="001E6C4D"/>
    <w:rsid w:val="001E706C"/>
    <w:rsid w:val="001E7EAA"/>
    <w:rsid w:val="001F0B20"/>
    <w:rsid w:val="001F0C2C"/>
    <w:rsid w:val="001F1762"/>
    <w:rsid w:val="001F176A"/>
    <w:rsid w:val="001F1B6E"/>
    <w:rsid w:val="001F371C"/>
    <w:rsid w:val="001F3A30"/>
    <w:rsid w:val="001F3B5B"/>
    <w:rsid w:val="001F3C23"/>
    <w:rsid w:val="001F7392"/>
    <w:rsid w:val="002004E5"/>
    <w:rsid w:val="00200A62"/>
    <w:rsid w:val="00203740"/>
    <w:rsid w:val="0020401E"/>
    <w:rsid w:val="002043B8"/>
    <w:rsid w:val="0020481D"/>
    <w:rsid w:val="00205BCF"/>
    <w:rsid w:val="00205E6D"/>
    <w:rsid w:val="00207D18"/>
    <w:rsid w:val="002100C7"/>
    <w:rsid w:val="00210EEB"/>
    <w:rsid w:val="002119E9"/>
    <w:rsid w:val="0021294C"/>
    <w:rsid w:val="00212CA0"/>
    <w:rsid w:val="002138EA"/>
    <w:rsid w:val="002139EA"/>
    <w:rsid w:val="00213F84"/>
    <w:rsid w:val="00214191"/>
    <w:rsid w:val="00214997"/>
    <w:rsid w:val="00214CCD"/>
    <w:rsid w:val="00214E55"/>
    <w:rsid w:val="00214FBD"/>
    <w:rsid w:val="00217592"/>
    <w:rsid w:val="00217E51"/>
    <w:rsid w:val="0022045C"/>
    <w:rsid w:val="0022176A"/>
    <w:rsid w:val="00221E08"/>
    <w:rsid w:val="00222897"/>
    <w:rsid w:val="00222B0C"/>
    <w:rsid w:val="002232E4"/>
    <w:rsid w:val="0022354A"/>
    <w:rsid w:val="002239CB"/>
    <w:rsid w:val="00223F0F"/>
    <w:rsid w:val="00224672"/>
    <w:rsid w:val="002252A8"/>
    <w:rsid w:val="00226DF3"/>
    <w:rsid w:val="00226EA1"/>
    <w:rsid w:val="00227143"/>
    <w:rsid w:val="00227342"/>
    <w:rsid w:val="0022772D"/>
    <w:rsid w:val="00227739"/>
    <w:rsid w:val="002309D1"/>
    <w:rsid w:val="00232D59"/>
    <w:rsid w:val="00232FF0"/>
    <w:rsid w:val="0023471F"/>
    <w:rsid w:val="00234AA5"/>
    <w:rsid w:val="00234BDF"/>
    <w:rsid w:val="00235394"/>
    <w:rsid w:val="00235577"/>
    <w:rsid w:val="00235EF0"/>
    <w:rsid w:val="002371B2"/>
    <w:rsid w:val="002373DB"/>
    <w:rsid w:val="002375D9"/>
    <w:rsid w:val="0024059C"/>
    <w:rsid w:val="00240DDA"/>
    <w:rsid w:val="002435CA"/>
    <w:rsid w:val="002439F3"/>
    <w:rsid w:val="00244439"/>
    <w:rsid w:val="0024469F"/>
    <w:rsid w:val="00245E5E"/>
    <w:rsid w:val="00246557"/>
    <w:rsid w:val="002501F8"/>
    <w:rsid w:val="00250B5B"/>
    <w:rsid w:val="00251720"/>
    <w:rsid w:val="00251955"/>
    <w:rsid w:val="00252DB8"/>
    <w:rsid w:val="00253791"/>
    <w:rsid w:val="002537BC"/>
    <w:rsid w:val="00253D5B"/>
    <w:rsid w:val="0025412C"/>
    <w:rsid w:val="00255C58"/>
    <w:rsid w:val="00255F0E"/>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189"/>
    <w:rsid w:val="002714A9"/>
    <w:rsid w:val="002723EE"/>
    <w:rsid w:val="00272943"/>
    <w:rsid w:val="002731AF"/>
    <w:rsid w:val="002739F2"/>
    <w:rsid w:val="00273FEF"/>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096"/>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0707"/>
    <w:rsid w:val="002C2034"/>
    <w:rsid w:val="002C2ABE"/>
    <w:rsid w:val="002C47D8"/>
    <w:rsid w:val="002C4B52"/>
    <w:rsid w:val="002C652B"/>
    <w:rsid w:val="002C6C1C"/>
    <w:rsid w:val="002C7713"/>
    <w:rsid w:val="002D03E5"/>
    <w:rsid w:val="002D1F39"/>
    <w:rsid w:val="002D2202"/>
    <w:rsid w:val="002D23F9"/>
    <w:rsid w:val="002D278D"/>
    <w:rsid w:val="002D36EB"/>
    <w:rsid w:val="002D3BD7"/>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5A7"/>
    <w:rsid w:val="00302742"/>
    <w:rsid w:val="003063D1"/>
    <w:rsid w:val="00307E51"/>
    <w:rsid w:val="00310CED"/>
    <w:rsid w:val="00311363"/>
    <w:rsid w:val="00313138"/>
    <w:rsid w:val="00315277"/>
    <w:rsid w:val="00315867"/>
    <w:rsid w:val="00315D67"/>
    <w:rsid w:val="00317330"/>
    <w:rsid w:val="003178C6"/>
    <w:rsid w:val="00317B8B"/>
    <w:rsid w:val="00317B9A"/>
    <w:rsid w:val="003201D7"/>
    <w:rsid w:val="00320699"/>
    <w:rsid w:val="003206DF"/>
    <w:rsid w:val="00320E41"/>
    <w:rsid w:val="00321150"/>
    <w:rsid w:val="00322B04"/>
    <w:rsid w:val="00322BC6"/>
    <w:rsid w:val="00322F65"/>
    <w:rsid w:val="003233EE"/>
    <w:rsid w:val="00323AED"/>
    <w:rsid w:val="00323AF9"/>
    <w:rsid w:val="0032407B"/>
    <w:rsid w:val="003260D7"/>
    <w:rsid w:val="0032651D"/>
    <w:rsid w:val="00326AA2"/>
    <w:rsid w:val="00327454"/>
    <w:rsid w:val="003274F5"/>
    <w:rsid w:val="0032789F"/>
    <w:rsid w:val="00327C88"/>
    <w:rsid w:val="00330492"/>
    <w:rsid w:val="003308B9"/>
    <w:rsid w:val="003313D3"/>
    <w:rsid w:val="0033168B"/>
    <w:rsid w:val="00332B20"/>
    <w:rsid w:val="00334398"/>
    <w:rsid w:val="00334B30"/>
    <w:rsid w:val="00335023"/>
    <w:rsid w:val="00335113"/>
    <w:rsid w:val="00335AB1"/>
    <w:rsid w:val="003362AF"/>
    <w:rsid w:val="00336697"/>
    <w:rsid w:val="00336C80"/>
    <w:rsid w:val="0034057A"/>
    <w:rsid w:val="00340A46"/>
    <w:rsid w:val="00340D21"/>
    <w:rsid w:val="00340F5A"/>
    <w:rsid w:val="003418CB"/>
    <w:rsid w:val="00343ED2"/>
    <w:rsid w:val="0034538E"/>
    <w:rsid w:val="003459D5"/>
    <w:rsid w:val="00346216"/>
    <w:rsid w:val="00346B17"/>
    <w:rsid w:val="0035128D"/>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5A75"/>
    <w:rsid w:val="00365A8B"/>
    <w:rsid w:val="00365E22"/>
    <w:rsid w:val="00366400"/>
    <w:rsid w:val="003669CE"/>
    <w:rsid w:val="00366B49"/>
    <w:rsid w:val="00366F56"/>
    <w:rsid w:val="003672F5"/>
    <w:rsid w:val="003675AF"/>
    <w:rsid w:val="00367724"/>
    <w:rsid w:val="0037006A"/>
    <w:rsid w:val="003701AB"/>
    <w:rsid w:val="0037072B"/>
    <w:rsid w:val="003710BA"/>
    <w:rsid w:val="00371BA6"/>
    <w:rsid w:val="00371E2F"/>
    <w:rsid w:val="00372140"/>
    <w:rsid w:val="00372233"/>
    <w:rsid w:val="00372775"/>
    <w:rsid w:val="00372E5B"/>
    <w:rsid w:val="00374BC2"/>
    <w:rsid w:val="00375E1F"/>
    <w:rsid w:val="003766BC"/>
    <w:rsid w:val="0037683F"/>
    <w:rsid w:val="00376A8A"/>
    <w:rsid w:val="003770F6"/>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769D"/>
    <w:rsid w:val="003A7EEF"/>
    <w:rsid w:val="003B0158"/>
    <w:rsid w:val="003B04F5"/>
    <w:rsid w:val="003B0890"/>
    <w:rsid w:val="003B13A1"/>
    <w:rsid w:val="003B184F"/>
    <w:rsid w:val="003B222F"/>
    <w:rsid w:val="003B3347"/>
    <w:rsid w:val="003B40B6"/>
    <w:rsid w:val="003B4BCD"/>
    <w:rsid w:val="003B56DB"/>
    <w:rsid w:val="003B6BB8"/>
    <w:rsid w:val="003B6CCA"/>
    <w:rsid w:val="003B70E1"/>
    <w:rsid w:val="003B73E9"/>
    <w:rsid w:val="003B755E"/>
    <w:rsid w:val="003C228E"/>
    <w:rsid w:val="003C29C8"/>
    <w:rsid w:val="003C2AC7"/>
    <w:rsid w:val="003C2B95"/>
    <w:rsid w:val="003C2BB5"/>
    <w:rsid w:val="003C3317"/>
    <w:rsid w:val="003C42A6"/>
    <w:rsid w:val="003C51A1"/>
    <w:rsid w:val="003C51E7"/>
    <w:rsid w:val="003C5761"/>
    <w:rsid w:val="003C6893"/>
    <w:rsid w:val="003C6DE2"/>
    <w:rsid w:val="003C7350"/>
    <w:rsid w:val="003C780D"/>
    <w:rsid w:val="003C79C2"/>
    <w:rsid w:val="003D1A28"/>
    <w:rsid w:val="003D1EFD"/>
    <w:rsid w:val="003D28BF"/>
    <w:rsid w:val="003D2AD4"/>
    <w:rsid w:val="003D2C82"/>
    <w:rsid w:val="003D40BB"/>
    <w:rsid w:val="003D4215"/>
    <w:rsid w:val="003D47F7"/>
    <w:rsid w:val="003D4C47"/>
    <w:rsid w:val="003D6477"/>
    <w:rsid w:val="003D7039"/>
    <w:rsid w:val="003D7159"/>
    <w:rsid w:val="003D7719"/>
    <w:rsid w:val="003E0CE8"/>
    <w:rsid w:val="003E113C"/>
    <w:rsid w:val="003E1C0C"/>
    <w:rsid w:val="003E21B3"/>
    <w:rsid w:val="003E40EE"/>
    <w:rsid w:val="003E44C9"/>
    <w:rsid w:val="003E454E"/>
    <w:rsid w:val="003E4A29"/>
    <w:rsid w:val="003E6607"/>
    <w:rsid w:val="003E6796"/>
    <w:rsid w:val="003E7494"/>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0E37"/>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F8C"/>
    <w:rsid w:val="00425F92"/>
    <w:rsid w:val="00426275"/>
    <w:rsid w:val="00427195"/>
    <w:rsid w:val="004271BA"/>
    <w:rsid w:val="004273AD"/>
    <w:rsid w:val="004301AA"/>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36F12"/>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AC7"/>
    <w:rsid w:val="00450D9C"/>
    <w:rsid w:val="00450F27"/>
    <w:rsid w:val="004510E5"/>
    <w:rsid w:val="00452750"/>
    <w:rsid w:val="00452F04"/>
    <w:rsid w:val="00454218"/>
    <w:rsid w:val="004542E7"/>
    <w:rsid w:val="00454D3E"/>
    <w:rsid w:val="00455068"/>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42AE"/>
    <w:rsid w:val="0046490D"/>
    <w:rsid w:val="0046506B"/>
    <w:rsid w:val="00467BB0"/>
    <w:rsid w:val="00471125"/>
    <w:rsid w:val="00471BCD"/>
    <w:rsid w:val="00472268"/>
    <w:rsid w:val="00474118"/>
    <w:rsid w:val="0047437A"/>
    <w:rsid w:val="0047463B"/>
    <w:rsid w:val="00474A2A"/>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191"/>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50"/>
    <w:rsid w:val="004D737D"/>
    <w:rsid w:val="004D7AFB"/>
    <w:rsid w:val="004E09C2"/>
    <w:rsid w:val="004E0B28"/>
    <w:rsid w:val="004E0CFD"/>
    <w:rsid w:val="004E1CA5"/>
    <w:rsid w:val="004E1DB7"/>
    <w:rsid w:val="004E2659"/>
    <w:rsid w:val="004E39EE"/>
    <w:rsid w:val="004E475C"/>
    <w:rsid w:val="004E47E5"/>
    <w:rsid w:val="004E56E0"/>
    <w:rsid w:val="004E6370"/>
    <w:rsid w:val="004E63A3"/>
    <w:rsid w:val="004E7329"/>
    <w:rsid w:val="004E7761"/>
    <w:rsid w:val="004F00D2"/>
    <w:rsid w:val="004F0497"/>
    <w:rsid w:val="004F0A9A"/>
    <w:rsid w:val="004F0C99"/>
    <w:rsid w:val="004F138A"/>
    <w:rsid w:val="004F21C6"/>
    <w:rsid w:val="004F2CB0"/>
    <w:rsid w:val="004F3357"/>
    <w:rsid w:val="004F4918"/>
    <w:rsid w:val="004F6428"/>
    <w:rsid w:val="004F73FB"/>
    <w:rsid w:val="004F7ABD"/>
    <w:rsid w:val="00500AC9"/>
    <w:rsid w:val="00500EE9"/>
    <w:rsid w:val="005017F7"/>
    <w:rsid w:val="00501FA7"/>
    <w:rsid w:val="005023FC"/>
    <w:rsid w:val="00502D7C"/>
    <w:rsid w:val="00502FC3"/>
    <w:rsid w:val="005034DC"/>
    <w:rsid w:val="005047D7"/>
    <w:rsid w:val="00504AE6"/>
    <w:rsid w:val="00505BFA"/>
    <w:rsid w:val="00506034"/>
    <w:rsid w:val="005071B4"/>
    <w:rsid w:val="005072BD"/>
    <w:rsid w:val="0050747A"/>
    <w:rsid w:val="0050754E"/>
    <w:rsid w:val="00507687"/>
    <w:rsid w:val="005101D8"/>
    <w:rsid w:val="005105E1"/>
    <w:rsid w:val="00510967"/>
    <w:rsid w:val="005117A9"/>
    <w:rsid w:val="00511CE8"/>
    <w:rsid w:val="00511F57"/>
    <w:rsid w:val="00514572"/>
    <w:rsid w:val="005150A3"/>
    <w:rsid w:val="00515212"/>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304"/>
    <w:rsid w:val="00525841"/>
    <w:rsid w:val="00526AB7"/>
    <w:rsid w:val="0052729C"/>
    <w:rsid w:val="005304EC"/>
    <w:rsid w:val="005308DB"/>
    <w:rsid w:val="00530A2E"/>
    <w:rsid w:val="00530A46"/>
    <w:rsid w:val="00530C53"/>
    <w:rsid w:val="00530FBE"/>
    <w:rsid w:val="0053109B"/>
    <w:rsid w:val="00531537"/>
    <w:rsid w:val="00531642"/>
    <w:rsid w:val="00532BD8"/>
    <w:rsid w:val="00533159"/>
    <w:rsid w:val="005339DB"/>
    <w:rsid w:val="0053439A"/>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2BC"/>
    <w:rsid w:val="005664FE"/>
    <w:rsid w:val="0057001A"/>
    <w:rsid w:val="0057050F"/>
    <w:rsid w:val="00570655"/>
    <w:rsid w:val="00570700"/>
    <w:rsid w:val="005709A7"/>
    <w:rsid w:val="00570B2A"/>
    <w:rsid w:val="00571245"/>
    <w:rsid w:val="00571777"/>
    <w:rsid w:val="00571B27"/>
    <w:rsid w:val="00571CAE"/>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C80"/>
    <w:rsid w:val="005949D1"/>
    <w:rsid w:val="00594D4F"/>
    <w:rsid w:val="00594D8E"/>
    <w:rsid w:val="005956EE"/>
    <w:rsid w:val="00595833"/>
    <w:rsid w:val="00596D69"/>
    <w:rsid w:val="00597204"/>
    <w:rsid w:val="00597C10"/>
    <w:rsid w:val="005A083E"/>
    <w:rsid w:val="005A1064"/>
    <w:rsid w:val="005A235B"/>
    <w:rsid w:val="005A2945"/>
    <w:rsid w:val="005A3168"/>
    <w:rsid w:val="005A3775"/>
    <w:rsid w:val="005A4929"/>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3A2"/>
    <w:rsid w:val="005C282C"/>
    <w:rsid w:val="005C2F8F"/>
    <w:rsid w:val="005C42D1"/>
    <w:rsid w:val="005C4BD3"/>
    <w:rsid w:val="005C50AC"/>
    <w:rsid w:val="005C5955"/>
    <w:rsid w:val="005C6BE0"/>
    <w:rsid w:val="005C715D"/>
    <w:rsid w:val="005C7B74"/>
    <w:rsid w:val="005D0B99"/>
    <w:rsid w:val="005D2310"/>
    <w:rsid w:val="005D23C4"/>
    <w:rsid w:val="005D308E"/>
    <w:rsid w:val="005D363F"/>
    <w:rsid w:val="005D3A48"/>
    <w:rsid w:val="005D4D13"/>
    <w:rsid w:val="005D4F71"/>
    <w:rsid w:val="005D505A"/>
    <w:rsid w:val="005D667A"/>
    <w:rsid w:val="005D7AF8"/>
    <w:rsid w:val="005D7EB9"/>
    <w:rsid w:val="005E17BF"/>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436"/>
    <w:rsid w:val="005F4777"/>
    <w:rsid w:val="005F4BDE"/>
    <w:rsid w:val="005F50C5"/>
    <w:rsid w:val="005F5192"/>
    <w:rsid w:val="005F5F3D"/>
    <w:rsid w:val="005F6F50"/>
    <w:rsid w:val="005F734E"/>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3FBC"/>
    <w:rsid w:val="00624A79"/>
    <w:rsid w:val="006302AA"/>
    <w:rsid w:val="006318FF"/>
    <w:rsid w:val="00632986"/>
    <w:rsid w:val="00633D7A"/>
    <w:rsid w:val="00634937"/>
    <w:rsid w:val="00634F4D"/>
    <w:rsid w:val="00635055"/>
    <w:rsid w:val="0063517E"/>
    <w:rsid w:val="00635734"/>
    <w:rsid w:val="006358CC"/>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D3D"/>
    <w:rsid w:val="00660900"/>
    <w:rsid w:val="00660CDE"/>
    <w:rsid w:val="00661125"/>
    <w:rsid w:val="00662F0E"/>
    <w:rsid w:val="006641ED"/>
    <w:rsid w:val="0066526C"/>
    <w:rsid w:val="006670AC"/>
    <w:rsid w:val="0066769F"/>
    <w:rsid w:val="0067000B"/>
    <w:rsid w:val="006711F7"/>
    <w:rsid w:val="00672307"/>
    <w:rsid w:val="0067373B"/>
    <w:rsid w:val="0067424C"/>
    <w:rsid w:val="006754C0"/>
    <w:rsid w:val="00675863"/>
    <w:rsid w:val="0067603E"/>
    <w:rsid w:val="00676976"/>
    <w:rsid w:val="006769F1"/>
    <w:rsid w:val="006770FE"/>
    <w:rsid w:val="006771FC"/>
    <w:rsid w:val="00677D4A"/>
    <w:rsid w:val="006808C6"/>
    <w:rsid w:val="00680C04"/>
    <w:rsid w:val="00681A70"/>
    <w:rsid w:val="00681F13"/>
    <w:rsid w:val="00682668"/>
    <w:rsid w:val="00682BCA"/>
    <w:rsid w:val="00682F78"/>
    <w:rsid w:val="00683917"/>
    <w:rsid w:val="00683BF1"/>
    <w:rsid w:val="0068523B"/>
    <w:rsid w:val="00685C9C"/>
    <w:rsid w:val="00685FFD"/>
    <w:rsid w:val="00686E53"/>
    <w:rsid w:val="00686EB2"/>
    <w:rsid w:val="00690A7E"/>
    <w:rsid w:val="0069101D"/>
    <w:rsid w:val="00691944"/>
    <w:rsid w:val="00692A68"/>
    <w:rsid w:val="00693099"/>
    <w:rsid w:val="00693452"/>
    <w:rsid w:val="00693D46"/>
    <w:rsid w:val="00693E0F"/>
    <w:rsid w:val="006942A8"/>
    <w:rsid w:val="00694B5A"/>
    <w:rsid w:val="00695D85"/>
    <w:rsid w:val="00695E2A"/>
    <w:rsid w:val="00696DFD"/>
    <w:rsid w:val="00697893"/>
    <w:rsid w:val="006A042F"/>
    <w:rsid w:val="006A0600"/>
    <w:rsid w:val="006A0DA6"/>
    <w:rsid w:val="006A0ECF"/>
    <w:rsid w:val="006A0FBD"/>
    <w:rsid w:val="006A1A6A"/>
    <w:rsid w:val="006A30A2"/>
    <w:rsid w:val="006A4029"/>
    <w:rsid w:val="006A5693"/>
    <w:rsid w:val="006A588C"/>
    <w:rsid w:val="006A6637"/>
    <w:rsid w:val="006A6D23"/>
    <w:rsid w:val="006A7195"/>
    <w:rsid w:val="006A79C4"/>
    <w:rsid w:val="006A7A89"/>
    <w:rsid w:val="006A7E7E"/>
    <w:rsid w:val="006B1B63"/>
    <w:rsid w:val="006B2474"/>
    <w:rsid w:val="006B25DE"/>
    <w:rsid w:val="006B5CD1"/>
    <w:rsid w:val="006B753F"/>
    <w:rsid w:val="006B7788"/>
    <w:rsid w:val="006C0B77"/>
    <w:rsid w:val="006C1694"/>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3B4A"/>
    <w:rsid w:val="006D4176"/>
    <w:rsid w:val="006D62B5"/>
    <w:rsid w:val="006D75A6"/>
    <w:rsid w:val="006E0A32"/>
    <w:rsid w:val="006E0A73"/>
    <w:rsid w:val="006E0FEE"/>
    <w:rsid w:val="006E1652"/>
    <w:rsid w:val="006E1E5F"/>
    <w:rsid w:val="006E2341"/>
    <w:rsid w:val="006E28C0"/>
    <w:rsid w:val="006E3B78"/>
    <w:rsid w:val="006E501E"/>
    <w:rsid w:val="006E5B04"/>
    <w:rsid w:val="006E6C11"/>
    <w:rsid w:val="006E6C91"/>
    <w:rsid w:val="006F0160"/>
    <w:rsid w:val="006F1AD4"/>
    <w:rsid w:val="006F2683"/>
    <w:rsid w:val="006F2732"/>
    <w:rsid w:val="006F580B"/>
    <w:rsid w:val="006F5AD5"/>
    <w:rsid w:val="006F5C2D"/>
    <w:rsid w:val="006F5FCF"/>
    <w:rsid w:val="006F75E9"/>
    <w:rsid w:val="006F781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3CAC"/>
    <w:rsid w:val="0074699E"/>
    <w:rsid w:val="00747809"/>
    <w:rsid w:val="00747C9C"/>
    <w:rsid w:val="00751861"/>
    <w:rsid w:val="007520B4"/>
    <w:rsid w:val="00753D16"/>
    <w:rsid w:val="00754960"/>
    <w:rsid w:val="00754C53"/>
    <w:rsid w:val="00754CD7"/>
    <w:rsid w:val="00754D65"/>
    <w:rsid w:val="00755189"/>
    <w:rsid w:val="007563BD"/>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080"/>
    <w:rsid w:val="00797AB3"/>
    <w:rsid w:val="007A1E11"/>
    <w:rsid w:val="007A1EAA"/>
    <w:rsid w:val="007A22CF"/>
    <w:rsid w:val="007A24CC"/>
    <w:rsid w:val="007A3140"/>
    <w:rsid w:val="007A3B6D"/>
    <w:rsid w:val="007A3FDD"/>
    <w:rsid w:val="007A40FB"/>
    <w:rsid w:val="007A4C6D"/>
    <w:rsid w:val="007A5A1B"/>
    <w:rsid w:val="007A5C6D"/>
    <w:rsid w:val="007A641C"/>
    <w:rsid w:val="007A6617"/>
    <w:rsid w:val="007A74E1"/>
    <w:rsid w:val="007A79FD"/>
    <w:rsid w:val="007A7A39"/>
    <w:rsid w:val="007B0B9D"/>
    <w:rsid w:val="007B0E07"/>
    <w:rsid w:val="007B16B1"/>
    <w:rsid w:val="007B220C"/>
    <w:rsid w:val="007B26E3"/>
    <w:rsid w:val="007B3BC0"/>
    <w:rsid w:val="007B5A43"/>
    <w:rsid w:val="007B709B"/>
    <w:rsid w:val="007B7407"/>
    <w:rsid w:val="007B7FCD"/>
    <w:rsid w:val="007C0595"/>
    <w:rsid w:val="007C1343"/>
    <w:rsid w:val="007C250F"/>
    <w:rsid w:val="007C396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4A42"/>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D8B"/>
    <w:rsid w:val="008004B4"/>
    <w:rsid w:val="0080083E"/>
    <w:rsid w:val="008031CF"/>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1ECC"/>
    <w:rsid w:val="00832201"/>
    <w:rsid w:val="00832B82"/>
    <w:rsid w:val="0083351C"/>
    <w:rsid w:val="008353E5"/>
    <w:rsid w:val="008355EA"/>
    <w:rsid w:val="00837458"/>
    <w:rsid w:val="00837AAE"/>
    <w:rsid w:val="00837F66"/>
    <w:rsid w:val="00841474"/>
    <w:rsid w:val="00842153"/>
    <w:rsid w:val="008425E0"/>
    <w:rsid w:val="008429AD"/>
    <w:rsid w:val="008429DB"/>
    <w:rsid w:val="00845ED3"/>
    <w:rsid w:val="008462E4"/>
    <w:rsid w:val="008462EC"/>
    <w:rsid w:val="00846382"/>
    <w:rsid w:val="00847A51"/>
    <w:rsid w:val="00847E6D"/>
    <w:rsid w:val="00847EA6"/>
    <w:rsid w:val="00847F67"/>
    <w:rsid w:val="00847F92"/>
    <w:rsid w:val="008509F4"/>
    <w:rsid w:val="00850B1E"/>
    <w:rsid w:val="00850C75"/>
    <w:rsid w:val="00850E39"/>
    <w:rsid w:val="00851D07"/>
    <w:rsid w:val="00852552"/>
    <w:rsid w:val="00852BC0"/>
    <w:rsid w:val="0085312B"/>
    <w:rsid w:val="00853B90"/>
    <w:rsid w:val="00854093"/>
    <w:rsid w:val="0085477A"/>
    <w:rsid w:val="00854D03"/>
    <w:rsid w:val="00854ECE"/>
    <w:rsid w:val="00855107"/>
    <w:rsid w:val="00855173"/>
    <w:rsid w:val="008557D9"/>
    <w:rsid w:val="00855BF7"/>
    <w:rsid w:val="00856214"/>
    <w:rsid w:val="00857523"/>
    <w:rsid w:val="0085779F"/>
    <w:rsid w:val="00860B81"/>
    <w:rsid w:val="00861073"/>
    <w:rsid w:val="00861824"/>
    <w:rsid w:val="00861AEF"/>
    <w:rsid w:val="00862089"/>
    <w:rsid w:val="008625C4"/>
    <w:rsid w:val="0086298F"/>
    <w:rsid w:val="0086521F"/>
    <w:rsid w:val="008652EB"/>
    <w:rsid w:val="008657A8"/>
    <w:rsid w:val="008659FB"/>
    <w:rsid w:val="00865D5D"/>
    <w:rsid w:val="00866D5B"/>
    <w:rsid w:val="00866FF5"/>
    <w:rsid w:val="008703F2"/>
    <w:rsid w:val="00870D72"/>
    <w:rsid w:val="008713DA"/>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A21"/>
    <w:rsid w:val="00881D8D"/>
    <w:rsid w:val="00882901"/>
    <w:rsid w:val="00882982"/>
    <w:rsid w:val="008837C0"/>
    <w:rsid w:val="008846DF"/>
    <w:rsid w:val="00885114"/>
    <w:rsid w:val="008860FE"/>
    <w:rsid w:val="00886D1F"/>
    <w:rsid w:val="00887AA9"/>
    <w:rsid w:val="0089008B"/>
    <w:rsid w:val="00890DDF"/>
    <w:rsid w:val="008910C3"/>
    <w:rsid w:val="00891EE1"/>
    <w:rsid w:val="00893987"/>
    <w:rsid w:val="00893F14"/>
    <w:rsid w:val="00894CF5"/>
    <w:rsid w:val="00894E9C"/>
    <w:rsid w:val="008963EF"/>
    <w:rsid w:val="00896415"/>
    <w:rsid w:val="0089688E"/>
    <w:rsid w:val="00896EF9"/>
    <w:rsid w:val="008A05E4"/>
    <w:rsid w:val="008A0A3C"/>
    <w:rsid w:val="008A1988"/>
    <w:rsid w:val="008A1C80"/>
    <w:rsid w:val="008A1FBE"/>
    <w:rsid w:val="008A3354"/>
    <w:rsid w:val="008A3C49"/>
    <w:rsid w:val="008A42D3"/>
    <w:rsid w:val="008A444B"/>
    <w:rsid w:val="008A48E2"/>
    <w:rsid w:val="008A6731"/>
    <w:rsid w:val="008A67E9"/>
    <w:rsid w:val="008A71CB"/>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7C1"/>
    <w:rsid w:val="008D0C2A"/>
    <w:rsid w:val="008D0C70"/>
    <w:rsid w:val="008D141E"/>
    <w:rsid w:val="008D1B7C"/>
    <w:rsid w:val="008D2919"/>
    <w:rsid w:val="008D2E35"/>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EE3"/>
    <w:rsid w:val="008E5A5B"/>
    <w:rsid w:val="008E7AB0"/>
    <w:rsid w:val="008F0552"/>
    <w:rsid w:val="008F0F2A"/>
    <w:rsid w:val="008F129C"/>
    <w:rsid w:val="008F12E0"/>
    <w:rsid w:val="008F1AB1"/>
    <w:rsid w:val="008F1E75"/>
    <w:rsid w:val="008F279D"/>
    <w:rsid w:val="008F4DD1"/>
    <w:rsid w:val="008F5164"/>
    <w:rsid w:val="008F5D74"/>
    <w:rsid w:val="008F5DDB"/>
    <w:rsid w:val="008F6056"/>
    <w:rsid w:val="008F6AA2"/>
    <w:rsid w:val="008F6AD1"/>
    <w:rsid w:val="008F7F99"/>
    <w:rsid w:val="00901D8E"/>
    <w:rsid w:val="00902C07"/>
    <w:rsid w:val="00903E1E"/>
    <w:rsid w:val="00905804"/>
    <w:rsid w:val="00905A61"/>
    <w:rsid w:val="00905A6B"/>
    <w:rsid w:val="00907628"/>
    <w:rsid w:val="009076A7"/>
    <w:rsid w:val="009100CC"/>
    <w:rsid w:val="009101E2"/>
    <w:rsid w:val="00910C0D"/>
    <w:rsid w:val="00911459"/>
    <w:rsid w:val="00911D59"/>
    <w:rsid w:val="00912280"/>
    <w:rsid w:val="009127A3"/>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37C7"/>
    <w:rsid w:val="0097408E"/>
    <w:rsid w:val="00974BB2"/>
    <w:rsid w:val="00974FA7"/>
    <w:rsid w:val="009756E5"/>
    <w:rsid w:val="00975E63"/>
    <w:rsid w:val="00977950"/>
    <w:rsid w:val="00977A8C"/>
    <w:rsid w:val="00977C96"/>
    <w:rsid w:val="00980247"/>
    <w:rsid w:val="0098103A"/>
    <w:rsid w:val="00981858"/>
    <w:rsid w:val="00983167"/>
    <w:rsid w:val="00983910"/>
    <w:rsid w:val="00984F60"/>
    <w:rsid w:val="009862D5"/>
    <w:rsid w:val="00990BDD"/>
    <w:rsid w:val="009924AD"/>
    <w:rsid w:val="00992B84"/>
    <w:rsid w:val="009932AC"/>
    <w:rsid w:val="00993CF0"/>
    <w:rsid w:val="00994351"/>
    <w:rsid w:val="009947FC"/>
    <w:rsid w:val="0099547A"/>
    <w:rsid w:val="00996A8F"/>
    <w:rsid w:val="00996EA7"/>
    <w:rsid w:val="009A128D"/>
    <w:rsid w:val="009A1DBF"/>
    <w:rsid w:val="009A2D5D"/>
    <w:rsid w:val="009A3346"/>
    <w:rsid w:val="009A4495"/>
    <w:rsid w:val="009A476F"/>
    <w:rsid w:val="009A4F59"/>
    <w:rsid w:val="009A5728"/>
    <w:rsid w:val="009A645F"/>
    <w:rsid w:val="009A68E6"/>
    <w:rsid w:val="009A6CCB"/>
    <w:rsid w:val="009A7598"/>
    <w:rsid w:val="009B0A62"/>
    <w:rsid w:val="009B18A0"/>
    <w:rsid w:val="009B1DF8"/>
    <w:rsid w:val="009B1E2B"/>
    <w:rsid w:val="009B307B"/>
    <w:rsid w:val="009B3C30"/>
    <w:rsid w:val="009B3D20"/>
    <w:rsid w:val="009B3F90"/>
    <w:rsid w:val="009B50C3"/>
    <w:rsid w:val="009B5418"/>
    <w:rsid w:val="009C0727"/>
    <w:rsid w:val="009C1373"/>
    <w:rsid w:val="009C15C7"/>
    <w:rsid w:val="009C20AB"/>
    <w:rsid w:val="009C2534"/>
    <w:rsid w:val="009C29D6"/>
    <w:rsid w:val="009C2BF6"/>
    <w:rsid w:val="009C2CFE"/>
    <w:rsid w:val="009C2D1C"/>
    <w:rsid w:val="009C3110"/>
    <w:rsid w:val="009C364F"/>
    <w:rsid w:val="009C3C80"/>
    <w:rsid w:val="009C3F80"/>
    <w:rsid w:val="009C43DF"/>
    <w:rsid w:val="009C45EC"/>
    <w:rsid w:val="009C492F"/>
    <w:rsid w:val="009C4BF0"/>
    <w:rsid w:val="009C5A80"/>
    <w:rsid w:val="009C5D77"/>
    <w:rsid w:val="009C66BD"/>
    <w:rsid w:val="009D01D1"/>
    <w:rsid w:val="009D2404"/>
    <w:rsid w:val="009D2BC6"/>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1EE"/>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6BE1"/>
    <w:rsid w:val="00A0704A"/>
    <w:rsid w:val="00A0758F"/>
    <w:rsid w:val="00A07AAB"/>
    <w:rsid w:val="00A10D76"/>
    <w:rsid w:val="00A1125C"/>
    <w:rsid w:val="00A11887"/>
    <w:rsid w:val="00A11BD2"/>
    <w:rsid w:val="00A11C28"/>
    <w:rsid w:val="00A138F2"/>
    <w:rsid w:val="00A13F70"/>
    <w:rsid w:val="00A14FF6"/>
    <w:rsid w:val="00A153BF"/>
    <w:rsid w:val="00A153E5"/>
    <w:rsid w:val="00A154DA"/>
    <w:rsid w:val="00A1570A"/>
    <w:rsid w:val="00A16B9B"/>
    <w:rsid w:val="00A17866"/>
    <w:rsid w:val="00A20127"/>
    <w:rsid w:val="00A20867"/>
    <w:rsid w:val="00A20DFD"/>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27F5F"/>
    <w:rsid w:val="00A309CF"/>
    <w:rsid w:val="00A31691"/>
    <w:rsid w:val="00A32EE2"/>
    <w:rsid w:val="00A337AE"/>
    <w:rsid w:val="00A33DDF"/>
    <w:rsid w:val="00A33EB0"/>
    <w:rsid w:val="00A34547"/>
    <w:rsid w:val="00A35A92"/>
    <w:rsid w:val="00A36AFF"/>
    <w:rsid w:val="00A376B7"/>
    <w:rsid w:val="00A4011D"/>
    <w:rsid w:val="00A41A5B"/>
    <w:rsid w:val="00A41BF5"/>
    <w:rsid w:val="00A429C5"/>
    <w:rsid w:val="00A43434"/>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5E57"/>
    <w:rsid w:val="00AA76AC"/>
    <w:rsid w:val="00AA7AEF"/>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E75"/>
    <w:rsid w:val="00AD1106"/>
    <w:rsid w:val="00AD2CA6"/>
    <w:rsid w:val="00AD4307"/>
    <w:rsid w:val="00AD45B8"/>
    <w:rsid w:val="00AD4638"/>
    <w:rsid w:val="00AD46F7"/>
    <w:rsid w:val="00AD4F45"/>
    <w:rsid w:val="00AD56B1"/>
    <w:rsid w:val="00AD5BC4"/>
    <w:rsid w:val="00AD7400"/>
    <w:rsid w:val="00AD7736"/>
    <w:rsid w:val="00AD79A2"/>
    <w:rsid w:val="00AD7D0E"/>
    <w:rsid w:val="00AE0607"/>
    <w:rsid w:val="00AE08F8"/>
    <w:rsid w:val="00AE10CE"/>
    <w:rsid w:val="00AE172F"/>
    <w:rsid w:val="00AE192C"/>
    <w:rsid w:val="00AE2136"/>
    <w:rsid w:val="00AE32DC"/>
    <w:rsid w:val="00AE3740"/>
    <w:rsid w:val="00AE4A30"/>
    <w:rsid w:val="00AE4B1D"/>
    <w:rsid w:val="00AE4EA3"/>
    <w:rsid w:val="00AE56CE"/>
    <w:rsid w:val="00AE5A10"/>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B78"/>
    <w:rsid w:val="00AF4C64"/>
    <w:rsid w:val="00AF4D19"/>
    <w:rsid w:val="00AF4D8B"/>
    <w:rsid w:val="00AF4DA7"/>
    <w:rsid w:val="00AF5D80"/>
    <w:rsid w:val="00AF6A26"/>
    <w:rsid w:val="00AF78B4"/>
    <w:rsid w:val="00AF7D13"/>
    <w:rsid w:val="00B00074"/>
    <w:rsid w:val="00B03F11"/>
    <w:rsid w:val="00B0453D"/>
    <w:rsid w:val="00B0497B"/>
    <w:rsid w:val="00B05480"/>
    <w:rsid w:val="00B06467"/>
    <w:rsid w:val="00B067CA"/>
    <w:rsid w:val="00B06D2F"/>
    <w:rsid w:val="00B0714C"/>
    <w:rsid w:val="00B07B39"/>
    <w:rsid w:val="00B1165F"/>
    <w:rsid w:val="00B125DC"/>
    <w:rsid w:val="00B12B26"/>
    <w:rsid w:val="00B12C73"/>
    <w:rsid w:val="00B12CFC"/>
    <w:rsid w:val="00B12D17"/>
    <w:rsid w:val="00B147ED"/>
    <w:rsid w:val="00B1487B"/>
    <w:rsid w:val="00B15386"/>
    <w:rsid w:val="00B163F8"/>
    <w:rsid w:val="00B179CD"/>
    <w:rsid w:val="00B2077A"/>
    <w:rsid w:val="00B2118E"/>
    <w:rsid w:val="00B213A9"/>
    <w:rsid w:val="00B21F3B"/>
    <w:rsid w:val="00B23667"/>
    <w:rsid w:val="00B23802"/>
    <w:rsid w:val="00B2472D"/>
    <w:rsid w:val="00B24887"/>
    <w:rsid w:val="00B24B05"/>
    <w:rsid w:val="00B24CA0"/>
    <w:rsid w:val="00B2549F"/>
    <w:rsid w:val="00B25789"/>
    <w:rsid w:val="00B262E9"/>
    <w:rsid w:val="00B26C82"/>
    <w:rsid w:val="00B278D6"/>
    <w:rsid w:val="00B30018"/>
    <w:rsid w:val="00B335AA"/>
    <w:rsid w:val="00B34272"/>
    <w:rsid w:val="00B346CF"/>
    <w:rsid w:val="00B34F37"/>
    <w:rsid w:val="00B3637D"/>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447"/>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50DD"/>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26A"/>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FDD"/>
    <w:rsid w:val="00BD6404"/>
    <w:rsid w:val="00BE17B1"/>
    <w:rsid w:val="00BE33AE"/>
    <w:rsid w:val="00BE3524"/>
    <w:rsid w:val="00BE45E1"/>
    <w:rsid w:val="00BE59A6"/>
    <w:rsid w:val="00BE5AC3"/>
    <w:rsid w:val="00BE6A08"/>
    <w:rsid w:val="00BE6CE7"/>
    <w:rsid w:val="00BE6DB8"/>
    <w:rsid w:val="00BE759D"/>
    <w:rsid w:val="00BF0088"/>
    <w:rsid w:val="00BF046F"/>
    <w:rsid w:val="00BF056F"/>
    <w:rsid w:val="00BF0E7D"/>
    <w:rsid w:val="00BF1209"/>
    <w:rsid w:val="00BF1631"/>
    <w:rsid w:val="00BF1D81"/>
    <w:rsid w:val="00BF3F46"/>
    <w:rsid w:val="00BF418A"/>
    <w:rsid w:val="00BF4FE9"/>
    <w:rsid w:val="00BF5398"/>
    <w:rsid w:val="00BF5E9C"/>
    <w:rsid w:val="00BF6280"/>
    <w:rsid w:val="00BF7223"/>
    <w:rsid w:val="00C01308"/>
    <w:rsid w:val="00C01D50"/>
    <w:rsid w:val="00C0274D"/>
    <w:rsid w:val="00C0288F"/>
    <w:rsid w:val="00C0432A"/>
    <w:rsid w:val="00C047AC"/>
    <w:rsid w:val="00C056DC"/>
    <w:rsid w:val="00C06335"/>
    <w:rsid w:val="00C078AC"/>
    <w:rsid w:val="00C07EFE"/>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2C3"/>
    <w:rsid w:val="00C24C05"/>
    <w:rsid w:val="00C24D18"/>
    <w:rsid w:val="00C24D2F"/>
    <w:rsid w:val="00C252FC"/>
    <w:rsid w:val="00C25E03"/>
    <w:rsid w:val="00C26222"/>
    <w:rsid w:val="00C265D2"/>
    <w:rsid w:val="00C30061"/>
    <w:rsid w:val="00C306A9"/>
    <w:rsid w:val="00C31283"/>
    <w:rsid w:val="00C31DDB"/>
    <w:rsid w:val="00C31E8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AF6"/>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4A7F"/>
    <w:rsid w:val="00C85314"/>
    <w:rsid w:val="00C85354"/>
    <w:rsid w:val="00C86A1F"/>
    <w:rsid w:val="00C86ABA"/>
    <w:rsid w:val="00C90CDF"/>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8E5"/>
    <w:rsid w:val="00CA5F6B"/>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165"/>
    <w:rsid w:val="00CC3768"/>
    <w:rsid w:val="00CC46CC"/>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FC1"/>
    <w:rsid w:val="00CD190C"/>
    <w:rsid w:val="00CD1DA6"/>
    <w:rsid w:val="00CD307E"/>
    <w:rsid w:val="00CD31C7"/>
    <w:rsid w:val="00CD451F"/>
    <w:rsid w:val="00CD5E18"/>
    <w:rsid w:val="00CD5E63"/>
    <w:rsid w:val="00CD629F"/>
    <w:rsid w:val="00CD6A1B"/>
    <w:rsid w:val="00CD7FD3"/>
    <w:rsid w:val="00CE07E0"/>
    <w:rsid w:val="00CE094F"/>
    <w:rsid w:val="00CE0A7F"/>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5249"/>
    <w:rsid w:val="00CF528E"/>
    <w:rsid w:val="00CF6747"/>
    <w:rsid w:val="00CF7287"/>
    <w:rsid w:val="00D0036C"/>
    <w:rsid w:val="00D013B2"/>
    <w:rsid w:val="00D01A8D"/>
    <w:rsid w:val="00D020A2"/>
    <w:rsid w:val="00D03A00"/>
    <w:rsid w:val="00D03D00"/>
    <w:rsid w:val="00D04746"/>
    <w:rsid w:val="00D049ED"/>
    <w:rsid w:val="00D05C30"/>
    <w:rsid w:val="00D06D47"/>
    <w:rsid w:val="00D07BC1"/>
    <w:rsid w:val="00D10052"/>
    <w:rsid w:val="00D10DE3"/>
    <w:rsid w:val="00D11359"/>
    <w:rsid w:val="00D114F4"/>
    <w:rsid w:val="00D12E3B"/>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ED3"/>
    <w:rsid w:val="00D242C6"/>
    <w:rsid w:val="00D248AB"/>
    <w:rsid w:val="00D24DC3"/>
    <w:rsid w:val="00D262D8"/>
    <w:rsid w:val="00D26667"/>
    <w:rsid w:val="00D27B9B"/>
    <w:rsid w:val="00D309FF"/>
    <w:rsid w:val="00D30CF6"/>
    <w:rsid w:val="00D30FA8"/>
    <w:rsid w:val="00D31054"/>
    <w:rsid w:val="00D3188C"/>
    <w:rsid w:val="00D32CC3"/>
    <w:rsid w:val="00D33290"/>
    <w:rsid w:val="00D33334"/>
    <w:rsid w:val="00D33870"/>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50954"/>
    <w:rsid w:val="00D50B70"/>
    <w:rsid w:val="00D50EED"/>
    <w:rsid w:val="00D520E4"/>
    <w:rsid w:val="00D525EE"/>
    <w:rsid w:val="00D52B77"/>
    <w:rsid w:val="00D52DE1"/>
    <w:rsid w:val="00D531A6"/>
    <w:rsid w:val="00D5388D"/>
    <w:rsid w:val="00D53A38"/>
    <w:rsid w:val="00D542F8"/>
    <w:rsid w:val="00D554CC"/>
    <w:rsid w:val="00D55EA5"/>
    <w:rsid w:val="00D56341"/>
    <w:rsid w:val="00D56575"/>
    <w:rsid w:val="00D575DD"/>
    <w:rsid w:val="00D57940"/>
    <w:rsid w:val="00D57B6A"/>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2C78"/>
    <w:rsid w:val="00D84E4F"/>
    <w:rsid w:val="00D850DB"/>
    <w:rsid w:val="00D853E8"/>
    <w:rsid w:val="00D8576F"/>
    <w:rsid w:val="00D85A60"/>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A86"/>
    <w:rsid w:val="00DA4C1B"/>
    <w:rsid w:val="00DA5115"/>
    <w:rsid w:val="00DA6D12"/>
    <w:rsid w:val="00DB22A6"/>
    <w:rsid w:val="00DB2AA8"/>
    <w:rsid w:val="00DB3A4F"/>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52B1"/>
    <w:rsid w:val="00E06466"/>
    <w:rsid w:val="00E06835"/>
    <w:rsid w:val="00E06FDA"/>
    <w:rsid w:val="00E104CF"/>
    <w:rsid w:val="00E105C2"/>
    <w:rsid w:val="00E10ED7"/>
    <w:rsid w:val="00E11A49"/>
    <w:rsid w:val="00E12067"/>
    <w:rsid w:val="00E14EA9"/>
    <w:rsid w:val="00E1552D"/>
    <w:rsid w:val="00E156FF"/>
    <w:rsid w:val="00E1604E"/>
    <w:rsid w:val="00E160A5"/>
    <w:rsid w:val="00E16C21"/>
    <w:rsid w:val="00E17026"/>
    <w:rsid w:val="00E1713D"/>
    <w:rsid w:val="00E17FF5"/>
    <w:rsid w:val="00E20A43"/>
    <w:rsid w:val="00E21D21"/>
    <w:rsid w:val="00E228D7"/>
    <w:rsid w:val="00E22EDE"/>
    <w:rsid w:val="00E23898"/>
    <w:rsid w:val="00E242CA"/>
    <w:rsid w:val="00E25F3B"/>
    <w:rsid w:val="00E26E48"/>
    <w:rsid w:val="00E272B2"/>
    <w:rsid w:val="00E2763F"/>
    <w:rsid w:val="00E27D56"/>
    <w:rsid w:val="00E301FB"/>
    <w:rsid w:val="00E30668"/>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485C"/>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499F"/>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68A"/>
    <w:rsid w:val="00E86C34"/>
    <w:rsid w:val="00E86CC8"/>
    <w:rsid w:val="00E90068"/>
    <w:rsid w:val="00E906CC"/>
    <w:rsid w:val="00E90F42"/>
    <w:rsid w:val="00E91008"/>
    <w:rsid w:val="00E92163"/>
    <w:rsid w:val="00E9291F"/>
    <w:rsid w:val="00E93125"/>
    <w:rsid w:val="00E931B1"/>
    <w:rsid w:val="00E9374E"/>
    <w:rsid w:val="00E93A46"/>
    <w:rsid w:val="00E94E60"/>
    <w:rsid w:val="00E94F54"/>
    <w:rsid w:val="00E951E9"/>
    <w:rsid w:val="00E95285"/>
    <w:rsid w:val="00E95308"/>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389"/>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581F"/>
    <w:rsid w:val="00EC65E0"/>
    <w:rsid w:val="00EC77FC"/>
    <w:rsid w:val="00ED0AB7"/>
    <w:rsid w:val="00ED12E6"/>
    <w:rsid w:val="00ED2197"/>
    <w:rsid w:val="00ED225A"/>
    <w:rsid w:val="00ED225E"/>
    <w:rsid w:val="00ED230E"/>
    <w:rsid w:val="00ED2C81"/>
    <w:rsid w:val="00ED3067"/>
    <w:rsid w:val="00ED378A"/>
    <w:rsid w:val="00ED383A"/>
    <w:rsid w:val="00ED3F40"/>
    <w:rsid w:val="00ED4F23"/>
    <w:rsid w:val="00ED6DFF"/>
    <w:rsid w:val="00ED7F3A"/>
    <w:rsid w:val="00ED7FA2"/>
    <w:rsid w:val="00EE052D"/>
    <w:rsid w:val="00EE06C1"/>
    <w:rsid w:val="00EE06D5"/>
    <w:rsid w:val="00EE1080"/>
    <w:rsid w:val="00EE116A"/>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7AA"/>
    <w:rsid w:val="00EF73CC"/>
    <w:rsid w:val="00EF771A"/>
    <w:rsid w:val="00F00DCC"/>
    <w:rsid w:val="00F0156F"/>
    <w:rsid w:val="00F0276C"/>
    <w:rsid w:val="00F0292C"/>
    <w:rsid w:val="00F02CDE"/>
    <w:rsid w:val="00F02E77"/>
    <w:rsid w:val="00F02E98"/>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1981"/>
    <w:rsid w:val="00F22810"/>
    <w:rsid w:val="00F23AFC"/>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AD5"/>
    <w:rsid w:val="00F34765"/>
    <w:rsid w:val="00F34AF0"/>
    <w:rsid w:val="00F34BDE"/>
    <w:rsid w:val="00F35516"/>
    <w:rsid w:val="00F35790"/>
    <w:rsid w:val="00F3593A"/>
    <w:rsid w:val="00F35C77"/>
    <w:rsid w:val="00F371C1"/>
    <w:rsid w:val="00F373EC"/>
    <w:rsid w:val="00F37515"/>
    <w:rsid w:val="00F37BEC"/>
    <w:rsid w:val="00F37FB2"/>
    <w:rsid w:val="00F410D7"/>
    <w:rsid w:val="00F4136D"/>
    <w:rsid w:val="00F41478"/>
    <w:rsid w:val="00F41638"/>
    <w:rsid w:val="00F4212E"/>
    <w:rsid w:val="00F42C20"/>
    <w:rsid w:val="00F42EB3"/>
    <w:rsid w:val="00F42F3E"/>
    <w:rsid w:val="00F42FC5"/>
    <w:rsid w:val="00F434DA"/>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DF"/>
    <w:rsid w:val="00F74E92"/>
    <w:rsid w:val="00F75108"/>
    <w:rsid w:val="00F7554B"/>
    <w:rsid w:val="00F76187"/>
    <w:rsid w:val="00F776D0"/>
    <w:rsid w:val="00F77EB0"/>
    <w:rsid w:val="00F8000C"/>
    <w:rsid w:val="00F8078F"/>
    <w:rsid w:val="00F80834"/>
    <w:rsid w:val="00F80B4D"/>
    <w:rsid w:val="00F81446"/>
    <w:rsid w:val="00F814BF"/>
    <w:rsid w:val="00F81B07"/>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0131"/>
    <w:rsid w:val="00FA132C"/>
    <w:rsid w:val="00FA1738"/>
    <w:rsid w:val="00FA1AE7"/>
    <w:rsid w:val="00FA2AF7"/>
    <w:rsid w:val="00FA3313"/>
    <w:rsid w:val="00FA4718"/>
    <w:rsid w:val="00FA5848"/>
    <w:rsid w:val="00FA5E88"/>
    <w:rsid w:val="00FA6899"/>
    <w:rsid w:val="00FA7F3D"/>
    <w:rsid w:val="00FB0D91"/>
    <w:rsid w:val="00FB22F3"/>
    <w:rsid w:val="00FB23B3"/>
    <w:rsid w:val="00FB30DD"/>
    <w:rsid w:val="00FB38D8"/>
    <w:rsid w:val="00FB3BFE"/>
    <w:rsid w:val="00FB45D5"/>
    <w:rsid w:val="00FB6430"/>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5EA0"/>
    <w:rsid w:val="00FE681D"/>
    <w:rsid w:val="00FE6FF7"/>
    <w:rsid w:val="00FE72D0"/>
    <w:rsid w:val="00FE72E6"/>
    <w:rsid w:val="00FE747A"/>
    <w:rsid w:val="00FE752B"/>
    <w:rsid w:val="00FE7DF7"/>
    <w:rsid w:val="00FF0BA6"/>
    <w:rsid w:val="00FF0DA8"/>
    <w:rsid w:val="00FF11B1"/>
    <w:rsid w:val="00FF1949"/>
    <w:rsid w:val="00FF1F6A"/>
    <w:rsid w:val="00FF1FCB"/>
    <w:rsid w:val="00FF2C48"/>
    <w:rsid w:val="00FF2EF1"/>
    <w:rsid w:val="00FF33E5"/>
    <w:rsid w:val="00FF52D4"/>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9A6FBB8B-FEA2-444D-A0D4-7C61E3A19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212</TotalTime>
  <Pages>2</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Links>
    <vt:vector size="12" baseType="variant">
      <vt:variant>
        <vt:i4>1114162</vt:i4>
      </vt:variant>
      <vt:variant>
        <vt:i4>8</vt:i4>
      </vt:variant>
      <vt:variant>
        <vt:i4>0</vt:i4>
      </vt:variant>
      <vt:variant>
        <vt:i4>5</vt:i4>
      </vt:variant>
      <vt:variant>
        <vt:lpwstr/>
      </vt:variant>
      <vt:variant>
        <vt:lpwstr>_Toc136275224</vt:lpwstr>
      </vt:variant>
      <vt:variant>
        <vt:i4>1114162</vt:i4>
      </vt:variant>
      <vt:variant>
        <vt:i4>5</vt:i4>
      </vt:variant>
      <vt:variant>
        <vt:i4>0</vt:i4>
      </vt:variant>
      <vt:variant>
        <vt:i4>5</vt:i4>
      </vt:variant>
      <vt:variant>
        <vt:lpwstr/>
      </vt:variant>
      <vt:variant>
        <vt:lpwstr>_Toc136275223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501</cp:revision>
  <cp:lastPrinted>2022-08-18T22:29:00Z</cp:lastPrinted>
  <dcterms:created xsi:type="dcterms:W3CDTF">2023-03-31T07:56:00Z</dcterms:created>
  <dcterms:modified xsi:type="dcterms:W3CDTF">2024-05-13T15:16:00Z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